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245" w:rsidRDefault="00396245" w:rsidP="00396245">
      <w:pPr>
        <w:spacing w:before="100" w:beforeAutospacing="1" w:after="100" w:afterAutospacing="1" w:line="240" w:lineRule="auto"/>
        <w:ind w:left="720"/>
      </w:pPr>
      <w:r>
        <w:t>SPECIAL NOTE: This property requires an application fee of $50 to be submitted to HOA 2 weeks before your arrival and reservations for not less than 2 weeks (with sign of the Lease). Online bookings may be rejected if a booking is made outside of these parameters. Call us at 1-262-643-5734 today with your questions.</w:t>
      </w:r>
    </w:p>
    <w:p w:rsidR="00B031E8" w:rsidRPr="00B031E8" w:rsidRDefault="00B031E8" w:rsidP="00396245">
      <w:pPr>
        <w:spacing w:before="100" w:beforeAutospacing="1" w:after="100" w:afterAutospacing="1" w:line="240" w:lineRule="auto"/>
        <w:ind w:left="720"/>
        <w:rPr>
          <w:rFonts w:ascii="Times New Roman" w:eastAsia="Times New Roman" w:hAnsi="Times New Roman" w:cs="Times New Roman"/>
          <w:sz w:val="24"/>
          <w:szCs w:val="24"/>
        </w:rPr>
      </w:pPr>
      <w:r w:rsidRPr="00B031E8">
        <w:rPr>
          <w:rFonts w:ascii="Times New Roman" w:eastAsia="Times New Roman" w:hAnsi="Times New Roman" w:cs="Times New Roman"/>
          <w:sz w:val="24"/>
          <w:szCs w:val="24"/>
        </w:rPr>
        <w:t>There are three more similar properties in our community which were advertised on internet for vacation rental and all had higher prices for winter rental (from 2500 to 2</w:t>
      </w:r>
      <w:r>
        <w:rPr>
          <w:rFonts w:ascii="Times New Roman" w:eastAsia="Times New Roman" w:hAnsi="Times New Roman" w:cs="Times New Roman"/>
          <w:sz w:val="24"/>
          <w:szCs w:val="24"/>
        </w:rPr>
        <w:t>600 per month during Jan-</w:t>
      </w:r>
      <w:proofErr w:type="spellStart"/>
      <w:r>
        <w:rPr>
          <w:rFonts w:ascii="Times New Roman" w:eastAsia="Times New Roman" w:hAnsi="Times New Roman" w:cs="Times New Roman"/>
          <w:sz w:val="24"/>
          <w:szCs w:val="24"/>
        </w:rPr>
        <w:t>Apri</w:t>
      </w:r>
      <w:proofErr w:type="spellEnd"/>
      <w:r>
        <w:rPr>
          <w:rFonts w:ascii="Times New Roman" w:eastAsia="Times New Roman" w:hAnsi="Times New Roman" w:cs="Times New Roman"/>
          <w:sz w:val="24"/>
          <w:szCs w:val="24"/>
        </w:rPr>
        <w:t>). P</w:t>
      </w:r>
      <w:r w:rsidRPr="00B031E8">
        <w:rPr>
          <w:rFonts w:ascii="Times New Roman" w:eastAsia="Times New Roman" w:hAnsi="Times New Roman" w:cs="Times New Roman"/>
          <w:sz w:val="24"/>
          <w:szCs w:val="24"/>
        </w:rPr>
        <w:t>lus, they charge $110 departure cleaning fee, $50 HOA approval of the lease, and from $300 to $500 refundable security deposit.  All these properties in our community are already booked for these popular months according to their calendar (all in red color). WE ARE NEW HOSTS AND POSTED THE LOWEST PRICE FOR WINTER MONTHS RENTALS IN THIS COMMUNITY - $2,450 per month for Feb</w:t>
      </w:r>
      <w:proofErr w:type="gramStart"/>
      <w:r w:rsidRPr="00B031E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B031E8">
        <w:rPr>
          <w:rFonts w:ascii="Times New Roman" w:eastAsia="Times New Roman" w:hAnsi="Times New Roman" w:cs="Times New Roman"/>
          <w:sz w:val="24"/>
          <w:szCs w:val="24"/>
        </w:rPr>
        <w:t>Apr. of 2012.   If you are planning to rent from Feb.20 through Apr. 16 (56 nights) you will be charged by airbnb.com</w:t>
      </w:r>
      <w:r>
        <w:rPr>
          <w:rFonts w:ascii="Times New Roman" w:eastAsia="Times New Roman" w:hAnsi="Times New Roman" w:cs="Times New Roman"/>
          <w:sz w:val="24"/>
          <w:szCs w:val="24"/>
        </w:rPr>
        <w:t xml:space="preserve"> the </w:t>
      </w:r>
      <w:r w:rsidRPr="00B031E8">
        <w:rPr>
          <w:rFonts w:ascii="Times New Roman" w:eastAsia="Times New Roman" w:hAnsi="Times New Roman" w:cs="Times New Roman"/>
          <w:sz w:val="24"/>
          <w:szCs w:val="24"/>
        </w:rPr>
        <w:t xml:space="preserve">total of $4,908 (including all the fees).  We can give you an ADDITIONAL DISCOUNT of $108, so the total you will pay to airbnb.com will be $4,800.  They will pay us much less than that amount. So, after all the fees and taxes will be deducted from our payout we will get less than $2000 per month from you. Airbnb.com will process $300 refundable security deposit from you later on. After you will pay with your credit card your first installment out of two, </w:t>
      </w:r>
      <w:proofErr w:type="spellStart"/>
      <w:r w:rsidRPr="00B031E8">
        <w:rPr>
          <w:rFonts w:ascii="Times New Roman" w:eastAsia="Times New Roman" w:hAnsi="Times New Roman" w:cs="Times New Roman"/>
          <w:sz w:val="24"/>
          <w:szCs w:val="24"/>
        </w:rPr>
        <w:t>airbnb</w:t>
      </w:r>
      <w:proofErr w:type="spellEnd"/>
      <w:r w:rsidRPr="00B031E8">
        <w:rPr>
          <w:rFonts w:ascii="Times New Roman" w:eastAsia="Times New Roman" w:hAnsi="Times New Roman" w:cs="Times New Roman"/>
          <w:sz w:val="24"/>
          <w:szCs w:val="24"/>
        </w:rPr>
        <w:t xml:space="preserve"> should release all our contact information. According to the rules of this nice community, we will need to send you Lease Agreement to sign and then we will need to give that Lease for approval to our Home Owners Association (HOA) together with $50 approval fee. This should be done as soon as possible, but not less than 2 weeks in advance of the beginning of the lease. This sounds complicated, but in reality it is not. Everybody gets approved. This way HOA simply increases its income by charging $50 for each Lease Approval ("to get something out of nothing"). Everybody wants their share of the "pie". This is the reality....</w:t>
      </w:r>
    </w:p>
    <w:p w:rsidR="00F82F2C" w:rsidRPr="00193CCF" w:rsidRDefault="00F82F2C" w:rsidP="00F82F2C">
      <w:pPr>
        <w:spacing w:before="100" w:beforeAutospacing="1" w:after="100" w:afterAutospacing="1" w:line="240" w:lineRule="auto"/>
        <w:ind w:left="720"/>
        <w:rPr>
          <w:rFonts w:ascii="Times New Roman" w:eastAsia="Times New Roman" w:hAnsi="Times New Roman" w:cs="Times New Roman"/>
          <w:b/>
          <w:color w:val="FF0000"/>
          <w:sz w:val="28"/>
          <w:szCs w:val="28"/>
          <w:u w:val="single"/>
        </w:rPr>
      </w:pPr>
      <w:r w:rsidRPr="00193CCF">
        <w:rPr>
          <w:rFonts w:ascii="Times New Roman" w:eastAsia="Times New Roman" w:hAnsi="Times New Roman" w:cs="Times New Roman"/>
          <w:b/>
          <w:color w:val="FF0000"/>
          <w:sz w:val="28"/>
          <w:szCs w:val="28"/>
          <w:u w:val="single"/>
        </w:rPr>
        <w:t>"</w:t>
      </w:r>
      <w:r w:rsidR="00193CCF" w:rsidRPr="00193CCF">
        <w:rPr>
          <w:rStyle w:val="subheader"/>
          <w:b/>
          <w:color w:val="FF0000"/>
          <w:sz w:val="28"/>
          <w:szCs w:val="28"/>
          <w:u w:val="single"/>
          <w:lang/>
        </w:rPr>
        <w:t xml:space="preserve">Pool Home </w:t>
      </w:r>
      <w:proofErr w:type="gramStart"/>
      <w:r w:rsidR="00193CCF" w:rsidRPr="00193CCF">
        <w:rPr>
          <w:rStyle w:val="subheader"/>
          <w:b/>
          <w:color w:val="FF0000"/>
          <w:sz w:val="28"/>
          <w:szCs w:val="28"/>
          <w:u w:val="single"/>
          <w:lang/>
        </w:rPr>
        <w:t>In</w:t>
      </w:r>
      <w:proofErr w:type="gramEnd"/>
      <w:r w:rsidR="00193CCF" w:rsidRPr="00193CCF">
        <w:rPr>
          <w:rStyle w:val="subheader"/>
          <w:b/>
          <w:color w:val="FF0000"/>
          <w:sz w:val="28"/>
          <w:szCs w:val="28"/>
          <w:u w:val="single"/>
          <w:lang/>
        </w:rPr>
        <w:t xml:space="preserve"> Fort Myers Near Sanibel, Pier &amp; </w:t>
      </w:r>
      <w:r w:rsidR="00193CCF" w:rsidRPr="00193CCF">
        <w:rPr>
          <w:rStyle w:val="subheader"/>
          <w:b/>
          <w:color w:val="FF0000"/>
          <w:sz w:val="28"/>
          <w:szCs w:val="28"/>
          <w:u w:val="single"/>
          <w:lang/>
        </w:rPr>
        <w:t>Beach”</w:t>
      </w:r>
    </w:p>
    <w:p w:rsidR="00193CCF" w:rsidRDefault="00F82F2C" w:rsidP="00193CCF">
      <w:pPr>
        <w:pStyle w:val="ListParagraph"/>
        <w:spacing w:before="100" w:beforeAutospacing="1" w:after="100" w:afterAutospacing="1" w:line="240" w:lineRule="auto"/>
        <w:ind w:left="1440"/>
      </w:pPr>
      <w:r>
        <w:rPr>
          <w:b/>
        </w:rPr>
        <w:t xml:space="preserve">PROPERTY DESCRIPTION: </w:t>
      </w:r>
      <w:r>
        <w:rPr>
          <w:b/>
        </w:rPr>
        <w:br/>
      </w:r>
      <w:r>
        <w:t>Very beautiful location in Lee County, which offers awesome TROPICAL BEACHES. You are minutes away from Fort Myers Beach /Estero and Sanibel Islands (5-10 MIN drive by car).</w:t>
      </w:r>
      <w:r w:rsidR="00900853">
        <w:t xml:space="preserve"> </w:t>
      </w:r>
      <w:r>
        <w:br/>
      </w:r>
      <w:r w:rsidR="00193CCF">
        <w:t xml:space="preserve">Smoking and Pets - NOT ALLOWED! We could provide a CAR for additional $20/day. We have INTERNET, PRINTER, CABLE TV (4 TV sets),  DVD, 2 VCRs w/VHS movies for kids and adults, FISHING EQUIPMENT, outdoor BBQ GRILL, beach chairs, etc. Heated POOL is adjacent to the building. TENNIS COURTS and 300' FISHING </w:t>
      </w:r>
      <w:proofErr w:type="gramStart"/>
      <w:r w:rsidR="00193CCF">
        <w:t>PIER  are</w:t>
      </w:r>
      <w:proofErr w:type="gramEnd"/>
      <w:r w:rsidR="00193CCF">
        <w:t xml:space="preserve"> 5-10 min walk in the </w:t>
      </w:r>
      <w:r w:rsidR="00193CCF">
        <w:t>neighborhood</w:t>
      </w:r>
      <w:r w:rsidR="00193CCF">
        <w:t xml:space="preserve"> of nice large homes. </w:t>
      </w:r>
    </w:p>
    <w:p w:rsidR="00193CCF" w:rsidRDefault="00193CCF" w:rsidP="00193CCF">
      <w:pPr>
        <w:pStyle w:val="ListParagraph"/>
        <w:spacing w:before="100" w:beforeAutospacing="1" w:after="100" w:afterAutospacing="1" w:line="240" w:lineRule="auto"/>
        <w:ind w:left="1440"/>
      </w:pPr>
      <w:r>
        <w:t>Comfortable and spacious (2,434 sq. ft.), recently renovated</w:t>
      </w:r>
      <w:r>
        <w:t xml:space="preserve"> </w:t>
      </w:r>
      <w:r>
        <w:t xml:space="preserve"> 3+ </w:t>
      </w:r>
      <w:proofErr w:type="spellStart"/>
      <w:r>
        <w:t>bdrms</w:t>
      </w:r>
      <w:proofErr w:type="spellEnd"/>
      <w:r>
        <w:t xml:space="preserve"> (3 </w:t>
      </w:r>
      <w:proofErr w:type="spellStart"/>
      <w:r>
        <w:t>bdrms</w:t>
      </w:r>
      <w:proofErr w:type="spellEnd"/>
      <w:r>
        <w:t xml:space="preserve">. upstairs and beautiful, nicely decorated A/C Florida room on the first floor with skylights, windows and glass patio doors - may be used as an additional bdrm.)/ 2.5 </w:t>
      </w:r>
      <w:proofErr w:type="spellStart"/>
      <w:r>
        <w:t>bthrm</w:t>
      </w:r>
      <w:proofErr w:type="spellEnd"/>
      <w:r>
        <w:t xml:space="preserve">. </w:t>
      </w:r>
      <w:proofErr w:type="gramStart"/>
      <w:r>
        <w:t>C</w:t>
      </w:r>
      <w:r>
        <w:t>ondo</w:t>
      </w:r>
      <w:r>
        <w:t>/TOWN House</w:t>
      </w:r>
      <w:r>
        <w:t xml:space="preserve"> in South Fort Myers </w:t>
      </w:r>
      <w:r>
        <w:t>(IONA area) near the community HEATED POOL</w:t>
      </w:r>
      <w:r>
        <w:t>.</w:t>
      </w:r>
      <w:proofErr w:type="gramEnd"/>
      <w:r>
        <w:t xml:space="preserve"> Accommodates max. </w:t>
      </w:r>
      <w:proofErr w:type="gramStart"/>
      <w:r>
        <w:t>7 people.</w:t>
      </w:r>
      <w:proofErr w:type="gramEnd"/>
      <w:r>
        <w:t xml:space="preserve"> </w:t>
      </w:r>
    </w:p>
    <w:p w:rsidR="00193CCF" w:rsidRDefault="00193CCF" w:rsidP="00193CCF">
      <w:pPr>
        <w:pStyle w:val="ListParagraph"/>
        <w:spacing w:before="100" w:beforeAutospacing="1" w:after="100" w:afterAutospacing="1" w:line="240" w:lineRule="auto"/>
        <w:ind w:left="1440"/>
      </w:pPr>
      <w:r>
        <w:t xml:space="preserve">This lovely 2-story residence has been furnished with a comfortable and inviting décor making it an ideal home for your vacation. The kitchen is fully equipped with all one could wish for in a holiday home, huge American fridge/freezer with purified water &amp; ice </w:t>
      </w:r>
      <w:r>
        <w:lastRenderedPageBreak/>
        <w:t>making machine, glass-top electric range and large oven, dishwasher, big microwave and waste disposal. There is a laundry room with washer and drier.</w:t>
      </w:r>
    </w:p>
    <w:p w:rsidR="00193CCF" w:rsidRDefault="00193CCF" w:rsidP="00193CCF">
      <w:pPr>
        <w:pStyle w:val="ListParagraph"/>
        <w:spacing w:before="100" w:beforeAutospacing="1" w:after="100" w:afterAutospacing="1" w:line="240" w:lineRule="auto"/>
        <w:ind w:left="1440"/>
      </w:pPr>
      <w:r>
        <w:t xml:space="preserve"> FIRST FLOOR with all tiled floors has a nice entrance hall, cozy living room with a friendly wood-burning fireplace, dining room, very light Florida room (with sleeper sofa, love seat, tables) with 2 skylights, 2 windows and sliding glass patio doors, leading to the private courtyard (with outdoor furniture and tropical plants). Florida room can be used as an additional bedroom. First level has </w:t>
      </w:r>
      <w:proofErr w:type="spellStart"/>
      <w:proofErr w:type="gramStart"/>
      <w:r>
        <w:t>it’s</w:t>
      </w:r>
      <w:proofErr w:type="spellEnd"/>
      <w:proofErr w:type="gramEnd"/>
      <w:r>
        <w:t xml:space="preserve"> own half-bath and laundry room (washer/dryer inside). Beautiful KITCHEN with lots of white cabinets and spacious pantry has newer appliances, including big refrigerator with ice and filtered water dispenser, electric stove, small kitchen appliances for preparation of food. All pots &amp; pans, utensils and dishes are supplied.</w:t>
      </w:r>
    </w:p>
    <w:p w:rsidR="00193CCF" w:rsidRDefault="00193CCF" w:rsidP="00193CCF">
      <w:pPr>
        <w:pStyle w:val="ListParagraph"/>
        <w:spacing w:before="100" w:beforeAutospacing="1" w:after="100" w:afterAutospacing="1" w:line="240" w:lineRule="auto"/>
        <w:ind w:left="1440"/>
      </w:pPr>
      <w:r>
        <w:t xml:space="preserve">   SECOND FLOOR has 3 spacious carpeted bedrooms (professionally steam cleaned by Stanley Steamers on Oct.29, 2011) furnished with comfortable beds, a hall, and 2 recently renovated and tiled bathrooms. For your entertainment we have provided 4 TVs, 1 DVD player, Stereo sound system, with radio and CD, and large collection of VHS tapes with 2 VHS video players. . </w:t>
      </w:r>
    </w:p>
    <w:p w:rsidR="00193CCF" w:rsidRDefault="00193CCF" w:rsidP="00193CCF">
      <w:pPr>
        <w:pStyle w:val="ListParagraph"/>
        <w:spacing w:before="100" w:beforeAutospacing="1" w:after="100" w:afterAutospacing="1" w:line="240" w:lineRule="auto"/>
        <w:ind w:left="1440"/>
      </w:pPr>
      <w:r>
        <w:t xml:space="preserve">   THE UNIQUE BENEFITS OF THIS HOME</w:t>
      </w:r>
    </w:p>
    <w:p w:rsidR="00193CCF" w:rsidRDefault="00193CCF" w:rsidP="00193CCF">
      <w:pPr>
        <w:pStyle w:val="ListParagraph"/>
        <w:spacing w:before="100" w:beforeAutospacing="1" w:after="100" w:afterAutospacing="1" w:line="240" w:lineRule="auto"/>
        <w:ind w:left="1440"/>
      </w:pPr>
      <w:r>
        <w:t xml:space="preserve">   The FIREPLACE in family room is friendly. The paved fenced in PRIVATE COURTYARD with outdoor furniture (glass top table with big new red umbrella and 4 chairs) and </w:t>
      </w:r>
      <w:proofErr w:type="gramStart"/>
      <w:r>
        <w:t>tropical plants around the fence is</w:t>
      </w:r>
      <w:proofErr w:type="gramEnd"/>
      <w:r>
        <w:t xml:space="preserve"> a perfect outdoor space for entertaining (we have a BBQ grill there) or for a peaceful time alone. The heated community pool is adjacent to our building. POOL has been recently upgraded and is heated, there are plenty of chairs, tables and lounges available there to enjoy while at the pool. A building by the pool has bathroom and shower facilities. Community TENNIS COURTS are close by. The walking path around the lake is perfect for a stroll. The grounds are level, so walking and biking are effortless. Nothing beats the cool evenings and long walks here. Community’s FISHING </w:t>
      </w:r>
      <w:proofErr w:type="gramStart"/>
      <w:r>
        <w:t>PIER  (</w:t>
      </w:r>
      <w:proofErr w:type="gramEnd"/>
      <w:r>
        <w:t xml:space="preserve">300 feet long) is in a short walking distance from the unit. You can hike on walking path around the community LAKE, swim in the heated pool, and enjoy the beautiful tropical setting. The people here are friendly and welcoming. </w:t>
      </w:r>
    </w:p>
    <w:p w:rsidR="00193CCF" w:rsidRDefault="00193CCF" w:rsidP="00193CCF">
      <w:pPr>
        <w:pStyle w:val="ListParagraph"/>
        <w:spacing w:before="100" w:beforeAutospacing="1" w:after="100" w:afterAutospacing="1" w:line="240" w:lineRule="auto"/>
        <w:ind w:left="1440"/>
      </w:pPr>
      <w:r>
        <w:t xml:space="preserve">   There is an assigned parking space (#56) across the parking lot in front of the entrance, plus guest parking is available. </w:t>
      </w:r>
    </w:p>
    <w:p w:rsidR="00193CCF" w:rsidRDefault="00193CCF" w:rsidP="00193CCF">
      <w:pPr>
        <w:pStyle w:val="ListParagraph"/>
        <w:spacing w:before="100" w:beforeAutospacing="1" w:after="100" w:afterAutospacing="1" w:line="240" w:lineRule="auto"/>
        <w:ind w:left="1440"/>
      </w:pPr>
      <w:r>
        <w:t xml:space="preserve">   THE BREEZE FROM NEARBY CALOOSAHATCHEE RIVER KEEPS THE AREA COOL AND COMFORTABLE EVEN IN THE SUMMER.</w:t>
      </w:r>
    </w:p>
    <w:p w:rsidR="00193CCF" w:rsidRDefault="00193CCF" w:rsidP="00193CCF">
      <w:pPr>
        <w:pStyle w:val="ListParagraph"/>
        <w:spacing w:before="100" w:beforeAutospacing="1" w:after="100" w:afterAutospacing="1" w:line="240" w:lineRule="auto"/>
        <w:ind w:left="1440"/>
      </w:pPr>
      <w:r>
        <w:t xml:space="preserve">Preferred </w:t>
      </w:r>
      <w:r>
        <w:t xml:space="preserve">Long </w:t>
      </w:r>
      <w:r>
        <w:t xml:space="preserve">Term/ Seasonal/Monthly </w:t>
      </w:r>
      <w:proofErr w:type="gramStart"/>
      <w:r>
        <w:t xml:space="preserve">Rentals </w:t>
      </w:r>
      <w:r>
        <w:t xml:space="preserve"> in</w:t>
      </w:r>
      <w:proofErr w:type="gramEnd"/>
      <w:r>
        <w:t xml:space="preserve"> winter.</w:t>
      </w:r>
    </w:p>
    <w:p w:rsidR="00193CCF" w:rsidRDefault="00193CCF" w:rsidP="00193CCF">
      <w:pPr>
        <w:pStyle w:val="ListParagraph"/>
        <w:spacing w:before="100" w:beforeAutospacing="1" w:after="100" w:afterAutospacing="1" w:line="240" w:lineRule="auto"/>
        <w:ind w:left="1440"/>
      </w:pPr>
      <w:r>
        <w:t>Reservation/Security deposit of $500.00 is required.</w:t>
      </w:r>
    </w:p>
    <w:p w:rsidR="00193CCF" w:rsidRDefault="00193CCF" w:rsidP="00193CCF">
      <w:pPr>
        <w:pStyle w:val="ListParagraph"/>
        <w:spacing w:before="100" w:beforeAutospacing="1" w:after="100" w:afterAutospacing="1" w:line="240" w:lineRule="auto"/>
        <w:ind w:left="1440"/>
      </w:pPr>
      <w:r>
        <w:t xml:space="preserve">All utilities are included. Electricity is </w:t>
      </w:r>
      <w:proofErr w:type="spellStart"/>
      <w:r>
        <w:t>incuded</w:t>
      </w:r>
      <w:proofErr w:type="spellEnd"/>
      <w:r>
        <w:t xml:space="preserve"> up to $100/ month (weekly allowance is $25, then $0.12 </w:t>
      </w:r>
      <w:proofErr w:type="spellStart"/>
      <w:r>
        <w:t>kwt</w:t>
      </w:r>
      <w:proofErr w:type="spellEnd"/>
      <w:r>
        <w:t>/</w:t>
      </w:r>
      <w:proofErr w:type="spellStart"/>
      <w:r>
        <w:t>hr</w:t>
      </w:r>
      <w:proofErr w:type="spellEnd"/>
      <w:r>
        <w:t>).</w:t>
      </w:r>
    </w:p>
    <w:p w:rsidR="00193CCF" w:rsidRDefault="00193CCF" w:rsidP="00193CCF">
      <w:pPr>
        <w:pStyle w:val="ListParagraph"/>
        <w:spacing w:before="100" w:beforeAutospacing="1" w:after="100" w:afterAutospacing="1" w:line="240" w:lineRule="auto"/>
        <w:ind w:left="1440"/>
      </w:pPr>
      <w:r>
        <w:t>Note: until confirmed, rates are subject to change without notice.</w:t>
      </w:r>
    </w:p>
    <w:p w:rsidR="00193CCF" w:rsidRDefault="00193CCF" w:rsidP="00193CCF">
      <w:pPr>
        <w:pStyle w:val="ListParagraph"/>
        <w:spacing w:before="100" w:beforeAutospacing="1" w:after="100" w:afterAutospacing="1" w:line="240" w:lineRule="auto"/>
        <w:ind w:left="1440"/>
      </w:pPr>
      <w:r>
        <w:t>Dates available: all year.</w:t>
      </w:r>
    </w:p>
    <w:p w:rsidR="00193CCF" w:rsidRDefault="00193CCF" w:rsidP="00193CCF">
      <w:pPr>
        <w:pStyle w:val="ListParagraph"/>
        <w:spacing w:before="100" w:beforeAutospacing="1" w:after="100" w:afterAutospacing="1" w:line="240" w:lineRule="auto"/>
        <w:ind w:left="1440"/>
      </w:pPr>
      <w:r>
        <w:t xml:space="preserve">All taxes (5% lee county tax &amp; 6% Florida sales) are </w:t>
      </w:r>
      <w:r w:rsidR="00A1397B">
        <w:t>responsibility</w:t>
      </w:r>
      <w:r>
        <w:t xml:space="preserve"> of renters and will be ADDED to the price of rent.</w:t>
      </w:r>
    </w:p>
    <w:p w:rsidR="00193CCF" w:rsidRDefault="00193CCF" w:rsidP="00193CCF">
      <w:pPr>
        <w:pStyle w:val="ListParagraph"/>
        <w:spacing w:before="100" w:beforeAutospacing="1" w:after="100" w:afterAutospacing="1" w:line="240" w:lineRule="auto"/>
        <w:ind w:left="1440"/>
      </w:pPr>
      <w:r>
        <w:t>One time DEPARTURE CLEANING FEE : $110.00* (can be reduced to $50 if  renters will agree to thoroughly clean the premises yourselves before departure, so the reduced fee will cover the inventory taking and inspection of the unit after guests' departure). The unit should be left in a ready-to-rent condition at the end of your stay, as could be immediately habitable by the next tenants after cleaning.</w:t>
      </w:r>
    </w:p>
    <w:p w:rsidR="00193CCF" w:rsidRDefault="00193CCF" w:rsidP="00193CCF">
      <w:pPr>
        <w:pStyle w:val="ListParagraph"/>
        <w:spacing w:before="100" w:beforeAutospacing="1" w:after="100" w:afterAutospacing="1" w:line="240" w:lineRule="auto"/>
        <w:ind w:left="1440"/>
      </w:pPr>
      <w:r>
        <w:t xml:space="preserve">   Call us at 1(262)643-5734 with your questions.</w:t>
      </w:r>
    </w:p>
    <w:p w:rsidR="00193CCF" w:rsidRDefault="00193CCF" w:rsidP="00193CCF">
      <w:pPr>
        <w:pStyle w:val="ListParagraph"/>
        <w:spacing w:before="100" w:beforeAutospacing="1" w:after="100" w:afterAutospacing="1" w:line="240" w:lineRule="auto"/>
        <w:ind w:left="1440"/>
      </w:pPr>
      <w:r>
        <w:t xml:space="preserve">Nearest </w:t>
      </w:r>
      <w:proofErr w:type="gramStart"/>
      <w:r>
        <w:t>Motorway :</w:t>
      </w:r>
      <w:proofErr w:type="gramEnd"/>
      <w:r>
        <w:t xml:space="preserve"> I-75 at 5 Miles </w:t>
      </w:r>
    </w:p>
    <w:p w:rsidR="00193CCF" w:rsidRDefault="00193CCF" w:rsidP="00193CCF">
      <w:pPr>
        <w:pStyle w:val="ListParagraph"/>
        <w:spacing w:before="100" w:beforeAutospacing="1" w:after="100" w:afterAutospacing="1" w:line="240" w:lineRule="auto"/>
        <w:ind w:left="1440"/>
      </w:pPr>
      <w:r>
        <w:lastRenderedPageBreak/>
        <w:t>Nearest white sand beach: on the Caloosahatchee River - 10 min walking</w:t>
      </w:r>
    </w:p>
    <w:p w:rsidR="00193CCF" w:rsidRDefault="00193CCF" w:rsidP="00193CCF">
      <w:pPr>
        <w:pStyle w:val="ListParagraph"/>
        <w:spacing w:before="100" w:beforeAutospacing="1" w:after="100" w:afterAutospacing="1" w:line="240" w:lineRule="auto"/>
        <w:ind w:left="1440"/>
      </w:pPr>
      <w:r>
        <w:t xml:space="preserve">Nearest Gulf </w:t>
      </w:r>
      <w:proofErr w:type="gramStart"/>
      <w:r>
        <w:t>Beach :</w:t>
      </w:r>
      <w:proofErr w:type="gramEnd"/>
      <w:r>
        <w:t xml:space="preserve"> Fort Myers Beach, Sanibel, Captiva at approximately 3 Miles </w:t>
      </w:r>
    </w:p>
    <w:p w:rsidR="00193CCF" w:rsidRDefault="00193CCF" w:rsidP="00193CCF">
      <w:pPr>
        <w:pStyle w:val="ListParagraph"/>
        <w:spacing w:before="100" w:beforeAutospacing="1" w:after="100" w:afterAutospacing="1" w:line="240" w:lineRule="auto"/>
        <w:ind w:left="1440"/>
      </w:pPr>
      <w:r>
        <w:t xml:space="preserve">Nearest </w:t>
      </w:r>
      <w:proofErr w:type="spellStart"/>
      <w:proofErr w:type="gramStart"/>
      <w:r>
        <w:t>Barpub</w:t>
      </w:r>
      <w:proofErr w:type="spellEnd"/>
      <w:r>
        <w:t xml:space="preserve"> :</w:t>
      </w:r>
      <w:proofErr w:type="gramEnd"/>
      <w:r>
        <w:t xml:space="preserve"> Pinschers Crab Shack at 0.75 Miles</w:t>
      </w:r>
    </w:p>
    <w:p w:rsidR="00193CCF" w:rsidRDefault="00193CCF" w:rsidP="00193CCF">
      <w:pPr>
        <w:pStyle w:val="ListParagraph"/>
        <w:spacing w:before="100" w:beforeAutospacing="1" w:after="100" w:afterAutospacing="1" w:line="240" w:lineRule="auto"/>
        <w:ind w:left="1440"/>
      </w:pPr>
      <w:r>
        <w:t xml:space="preserve">Nearest </w:t>
      </w:r>
      <w:proofErr w:type="gramStart"/>
      <w:r>
        <w:t>Golf :</w:t>
      </w:r>
      <w:proofErr w:type="gramEnd"/>
      <w:r>
        <w:t xml:space="preserve"> Gulf Harbor at 0.5 Miles </w:t>
      </w:r>
    </w:p>
    <w:p w:rsidR="00193CCF" w:rsidRDefault="00193CCF" w:rsidP="00193CCF">
      <w:pPr>
        <w:pStyle w:val="ListParagraph"/>
        <w:spacing w:before="100" w:beforeAutospacing="1" w:after="100" w:afterAutospacing="1" w:line="240" w:lineRule="auto"/>
        <w:ind w:left="1440"/>
      </w:pPr>
      <w:r>
        <w:t xml:space="preserve">Nearest </w:t>
      </w:r>
      <w:proofErr w:type="gramStart"/>
      <w:r>
        <w:t>Restaurant :</w:t>
      </w:r>
      <w:proofErr w:type="gramEnd"/>
      <w:r>
        <w:t xml:space="preserve"> Wendy's, </w:t>
      </w:r>
      <w:proofErr w:type="spellStart"/>
      <w:r>
        <w:t>Quiznos</w:t>
      </w:r>
      <w:proofErr w:type="spellEnd"/>
      <w:r>
        <w:t xml:space="preserve"> at 0.75 Miles </w:t>
      </w:r>
    </w:p>
    <w:p w:rsidR="00193CCF" w:rsidRDefault="00193CCF" w:rsidP="00193CCF">
      <w:pPr>
        <w:pStyle w:val="ListParagraph"/>
        <w:spacing w:before="100" w:beforeAutospacing="1" w:after="100" w:afterAutospacing="1" w:line="240" w:lineRule="auto"/>
        <w:ind w:left="1440"/>
      </w:pPr>
      <w:r>
        <w:t xml:space="preserve">Car: necessary if you plan to explore the area of Fort Myers and visit Gulf beaches. Without the car you can walk (20 min) to the restaurants or to the shopping center with Big </w:t>
      </w:r>
      <w:proofErr w:type="spellStart"/>
      <w:r>
        <w:t>KMart</w:t>
      </w:r>
      <w:proofErr w:type="spellEnd"/>
      <w:r>
        <w:t xml:space="preserve"> and other stores. </w:t>
      </w:r>
    </w:p>
    <w:p w:rsidR="00F82F2C" w:rsidRDefault="00193CCF" w:rsidP="00193CCF">
      <w:pPr>
        <w:pStyle w:val="ListParagraph"/>
        <w:spacing w:before="100" w:beforeAutospacing="1" w:after="100" w:afterAutospacing="1" w:line="240" w:lineRule="auto"/>
        <w:ind w:left="1440"/>
      </w:pPr>
      <w:r>
        <w:t>MEADOWLARK COVE = LOCATION, LOCATION, LOCATION</w:t>
      </w:r>
      <w:proofErr w:type="gramStart"/>
      <w:r>
        <w:t>!</w:t>
      </w:r>
      <w:r w:rsidR="00F82F2C">
        <w:t>ALL</w:t>
      </w:r>
      <w:proofErr w:type="gramEnd"/>
      <w:r w:rsidR="00F82F2C">
        <w:t xml:space="preserve"> TAXES (5% Lee County Tax &amp; 6% Florida Sales) are INCLUDED. </w:t>
      </w:r>
      <w:r w:rsidR="00F82F2C">
        <w:br/>
        <w:t xml:space="preserve">Internet could be installed. </w:t>
      </w:r>
      <w:r w:rsidR="00F82F2C">
        <w:br/>
      </w:r>
    </w:p>
    <w:p w:rsidR="00F82F2C" w:rsidRDefault="00A1397B" w:rsidP="00F82F2C">
      <w:pPr>
        <w:pStyle w:val="NormalWeb"/>
      </w:pPr>
      <w:r>
        <w:rPr>
          <w:b/>
        </w:rPr>
        <w:t xml:space="preserve">     </w:t>
      </w:r>
      <w:r w:rsidR="00F82F2C">
        <w:rPr>
          <w:b/>
        </w:rPr>
        <w:t>THE UNIQUE BENEFITS OF THIS HOME</w:t>
      </w:r>
      <w:r w:rsidR="00F82F2C">
        <w:t xml:space="preserve"> </w:t>
      </w:r>
      <w:r w:rsidR="00F82F2C">
        <w:br/>
      </w:r>
      <w:r>
        <w:t xml:space="preserve">    </w:t>
      </w:r>
      <w:r w:rsidR="00F82F2C">
        <w:t xml:space="preserve">The FIREPLACE in family room is friendly. The paved fenced in PRIVATE COURTYARD with outdoor furniture and tropical plants is a perfect outdoor space for entertaining (we have a BBQ grill there) or for a peaceful time alone .The heated community pool is adjacent to our building, only a few steps from the unit, so you don't have to pack anything; just bring a towel . </w:t>
      </w:r>
      <w:r w:rsidR="00900853">
        <w:t xml:space="preserve">POOL has been recently upgraded and is heated all season; there are plenty of chairs, tables, and lounges available there to enjoy while at the pool. </w:t>
      </w:r>
      <w:r w:rsidR="00F82F2C">
        <w:t xml:space="preserve">Clubhouse by the pool has bathroom and shower </w:t>
      </w:r>
      <w:r w:rsidR="00900853">
        <w:t xml:space="preserve">facilities. </w:t>
      </w:r>
      <w:r w:rsidR="00F82F2C">
        <w:t>Community TENNIS COURTS are awaiting you. The walking path around the lake is perfect for a stroll. The grounds are level, so walking and biking are effortless. Nothing beats the cool evenings, and long walks, here. Community’s FISHING PIER is very convenient to have for fishing. You can hike, swim in the heated pool, and enjoy the beautiful tropical setting. The people here are friendly and welcomi</w:t>
      </w:r>
      <w:r w:rsidR="00900853">
        <w:t>ng. This place offers so much. T</w:t>
      </w:r>
      <w:r w:rsidR="00F82F2C">
        <w:t xml:space="preserve">here is a front fenced in COURTYARD - paved &amp; with outdoor furniture and tropical plants, that is private and great for entertaining. There is a nice shaded assigned parking space in front of the entrance plus guest parking available. The breeze from nearby river keeps the area cool and comfortable even in summer. The property is located in a quiet well established and popular McGregor/Iona area and the Peppertree Pointe community (Meadowlark Cove) of South Fort Myers with large well maintained homes throughout the area. The area is highly desired for winter rental. Don't forget the marina! Just a few miles to both Fort Myers Beach, Sanibel &amp; Captiva Islands, there are many choices for adventure. Whether you need a short term residence for a few months or just a month getaway...you will not be disappointed! </w:t>
      </w:r>
    </w:p>
    <w:p w:rsidR="00F82F2C" w:rsidRDefault="00F82F2C" w:rsidP="00F82F2C">
      <w:pPr>
        <w:pStyle w:val="NormalWeb"/>
      </w:pPr>
      <w:r>
        <w:t xml:space="preserve">Sorry, NO PETS and NO SMOKING! </w:t>
      </w:r>
      <w:r>
        <w:br/>
      </w:r>
      <w:r>
        <w:br/>
      </w:r>
      <w:r w:rsidR="00A1397B">
        <w:rPr>
          <w:b/>
        </w:rPr>
        <w:t xml:space="preserve">   </w:t>
      </w:r>
      <w:r>
        <w:rPr>
          <w:b/>
        </w:rPr>
        <w:t>THE FUN STUFF</w:t>
      </w:r>
      <w:r>
        <w:t xml:space="preserve"> </w:t>
      </w:r>
      <w:r>
        <w:br/>
      </w:r>
      <w:r w:rsidR="00A1397B">
        <w:t xml:space="preserve">   </w:t>
      </w:r>
      <w:r>
        <w:t xml:space="preserve">Beaches of Estero (Fort Myers Beach) and Sanibel Islands are less than 15 minutes away. Retail outlets, restaurants and grocery are all nearby. Tanger Outlet Mall is about 2 miles away, while Miromar and Prime outlets are about 30 minutes driving by car. There are also a number of water parks, miniature golf facilities in close proximity to the house. A number of nature preserves and State Parks in the area make for great entertainment for young and old alike. Try an air boat ride, paddling a kayak through mangroves, fishing off one of many piers throughout the region, deep sea fishing with a charter company. </w:t>
      </w:r>
      <w:r w:rsidR="00900853">
        <w:t xml:space="preserve">All of those things are within easy and quick access to the home. </w:t>
      </w:r>
      <w:r>
        <w:t xml:space="preserve">For art and history buffs, there are museums and art galleries like the Ford and Edison Winter Estates in our downtown, Fort Myers Art Walk, the Baily-Matthews </w:t>
      </w:r>
      <w:r>
        <w:lastRenderedPageBreak/>
        <w:t xml:space="preserve">Shell Museum to name but a very few. We keep a complete directory on the desk for guests. For baseball fans, the Red Sox call Fort Myers their winter home as do the Minnesota Twins. </w:t>
      </w:r>
      <w:r>
        <w:br/>
      </w:r>
      <w:r>
        <w:rPr>
          <w:b/>
        </w:rPr>
        <w:t>THE LITTLE THINGS</w:t>
      </w:r>
      <w:r>
        <w:t xml:space="preserve"> </w:t>
      </w:r>
      <w:r>
        <w:br/>
        <w:t>Some of the things we have included in our vacation home, like cooler for picnics, BBQ</w:t>
      </w:r>
      <w:r w:rsidR="00A1397B">
        <w:t xml:space="preserve"> grill</w:t>
      </w:r>
      <w:r>
        <w:t xml:space="preserve"> and fuel, dish and dishwasher soap, toilet paper and paper towels, coffee filters, shampoo and conditioner in master bath, shower bar, beach towels, laundry soap and dryer sheets are all designed to help you enjoy your stay in our home. </w:t>
      </w:r>
      <w:r>
        <w:br/>
        <w:t xml:space="preserve">Meadowlark Cove is a quiet, laid-back community with friendly residents. The grounds are beautifully cared for, and continually updated by the residents' Homeowners Association. We hope you will enjoy the carefree but restful atmosphere of the 'village'. </w:t>
      </w:r>
      <w:r>
        <w:br/>
      </w:r>
      <w:r>
        <w:rPr>
          <w:b/>
          <w:sz w:val="28"/>
          <w:szCs w:val="28"/>
        </w:rPr>
        <w:t>Why the Owner Choose Peppertree Pointe, Meadowlark Cove?</w:t>
      </w:r>
      <w:r>
        <w:t xml:space="preserve"> </w:t>
      </w:r>
      <w:r>
        <w:br/>
        <w:t xml:space="preserve">Hello. We are a family from Kenosha, Wisconsin. This property was recommended to us by friends who live here. Last year we vacationed in the area and fell in love with this place. We found the Iona area to be a convenient location to everything we enjoy and Peppertree Pointe to be the community we wanted to be in. When we will retire, we plan to spend the winter months there. For now we would like to share our beautiful townhouse with others who enjoy the warm winter in southwest Florida. For discussion: (phone number hidden) tree four. I was an economist/accountant and now I am a homemaker and my husband is a computer programmer. We have two busy teenage boys, who like to study, read, play different musical instruments, etc. </w:t>
      </w:r>
    </w:p>
    <w:tbl>
      <w:tblPr>
        <w:tblW w:w="0" w:type="auto"/>
        <w:tblCellSpacing w:w="15" w:type="dxa"/>
        <w:tblLook w:val="04A0" w:firstRow="1" w:lastRow="0" w:firstColumn="1" w:lastColumn="0" w:noHBand="0" w:noVBand="1"/>
      </w:tblPr>
      <w:tblGrid>
        <w:gridCol w:w="1317"/>
        <w:gridCol w:w="1122"/>
        <w:gridCol w:w="1122"/>
        <w:gridCol w:w="590"/>
        <w:gridCol w:w="935"/>
        <w:gridCol w:w="748"/>
        <w:gridCol w:w="844"/>
        <w:gridCol w:w="1649"/>
        <w:gridCol w:w="960"/>
      </w:tblGrid>
      <w:tr w:rsidR="004A2428" w:rsidTr="004A2428">
        <w:trPr>
          <w:tblHeader/>
          <w:tblCellSpacing w:w="15" w:type="dxa"/>
        </w:trPr>
        <w:tc>
          <w:tcPr>
            <w:tcW w:w="0" w:type="auto"/>
            <w:tcMar>
              <w:top w:w="15" w:type="dxa"/>
              <w:left w:w="15" w:type="dxa"/>
              <w:bottom w:w="15" w:type="dxa"/>
              <w:right w:w="15" w:type="dxa"/>
            </w:tcMar>
            <w:vAlign w:val="center"/>
            <w:hideMark/>
          </w:tcPr>
          <w:p w:rsidR="00F82F2C" w:rsidRPr="004A2428" w:rsidRDefault="00F82F2C">
            <w:pPr>
              <w:jc w:val="center"/>
              <w:rPr>
                <w:b/>
                <w:bCs/>
                <w:sz w:val="18"/>
                <w:szCs w:val="18"/>
              </w:rPr>
            </w:pPr>
            <w:r w:rsidRPr="004A2428">
              <w:rPr>
                <w:b/>
                <w:bCs/>
                <w:sz w:val="18"/>
                <w:szCs w:val="18"/>
              </w:rPr>
              <w:t>Rate Name</w:t>
            </w:r>
          </w:p>
        </w:tc>
        <w:tc>
          <w:tcPr>
            <w:tcW w:w="0" w:type="auto"/>
            <w:tcMar>
              <w:top w:w="15" w:type="dxa"/>
              <w:left w:w="15" w:type="dxa"/>
              <w:bottom w:w="15" w:type="dxa"/>
              <w:right w:w="15" w:type="dxa"/>
            </w:tcMar>
            <w:vAlign w:val="center"/>
            <w:hideMark/>
          </w:tcPr>
          <w:p w:rsidR="00F82F2C" w:rsidRPr="004A2428" w:rsidRDefault="00F82F2C">
            <w:pPr>
              <w:jc w:val="center"/>
              <w:rPr>
                <w:b/>
                <w:bCs/>
                <w:sz w:val="18"/>
                <w:szCs w:val="18"/>
              </w:rPr>
            </w:pPr>
            <w:r w:rsidRPr="004A2428">
              <w:rPr>
                <w:b/>
                <w:bCs/>
                <w:sz w:val="18"/>
                <w:szCs w:val="18"/>
              </w:rPr>
              <w:t>Start Date</w:t>
            </w:r>
          </w:p>
        </w:tc>
        <w:tc>
          <w:tcPr>
            <w:tcW w:w="0" w:type="auto"/>
            <w:tcMar>
              <w:top w:w="15" w:type="dxa"/>
              <w:left w:w="15" w:type="dxa"/>
              <w:bottom w:w="15" w:type="dxa"/>
              <w:right w:w="15" w:type="dxa"/>
            </w:tcMar>
            <w:vAlign w:val="center"/>
            <w:hideMark/>
          </w:tcPr>
          <w:p w:rsidR="00F82F2C" w:rsidRPr="004A2428" w:rsidRDefault="00F82F2C">
            <w:pPr>
              <w:jc w:val="center"/>
              <w:rPr>
                <w:b/>
                <w:bCs/>
                <w:sz w:val="18"/>
                <w:szCs w:val="18"/>
              </w:rPr>
            </w:pPr>
            <w:r w:rsidRPr="004A2428">
              <w:rPr>
                <w:b/>
                <w:bCs/>
                <w:sz w:val="18"/>
                <w:szCs w:val="18"/>
              </w:rPr>
              <w:t>End Date</w:t>
            </w:r>
          </w:p>
        </w:tc>
        <w:tc>
          <w:tcPr>
            <w:tcW w:w="0" w:type="auto"/>
            <w:tcMar>
              <w:top w:w="15" w:type="dxa"/>
              <w:left w:w="15" w:type="dxa"/>
              <w:bottom w:w="15" w:type="dxa"/>
              <w:right w:w="15" w:type="dxa"/>
            </w:tcMar>
            <w:vAlign w:val="center"/>
            <w:hideMark/>
          </w:tcPr>
          <w:p w:rsidR="00F82F2C" w:rsidRPr="004A2428" w:rsidRDefault="00F82F2C">
            <w:pPr>
              <w:jc w:val="center"/>
              <w:rPr>
                <w:b/>
                <w:bCs/>
                <w:sz w:val="18"/>
                <w:szCs w:val="18"/>
              </w:rPr>
            </w:pPr>
            <w:r w:rsidRPr="004A2428">
              <w:rPr>
                <w:b/>
                <w:bCs/>
                <w:sz w:val="18"/>
                <w:szCs w:val="18"/>
              </w:rPr>
              <w:t xml:space="preserve">Week </w:t>
            </w:r>
            <w:r w:rsidRPr="004A2428">
              <w:rPr>
                <w:b/>
                <w:bCs/>
                <w:sz w:val="18"/>
                <w:szCs w:val="18"/>
              </w:rPr>
              <w:br/>
              <w:t>Night</w:t>
            </w:r>
          </w:p>
        </w:tc>
        <w:tc>
          <w:tcPr>
            <w:tcW w:w="0" w:type="auto"/>
            <w:tcMar>
              <w:top w:w="15" w:type="dxa"/>
              <w:left w:w="15" w:type="dxa"/>
              <w:bottom w:w="15" w:type="dxa"/>
              <w:right w:w="15" w:type="dxa"/>
            </w:tcMar>
            <w:vAlign w:val="center"/>
            <w:hideMark/>
          </w:tcPr>
          <w:p w:rsidR="00F82F2C" w:rsidRPr="004A2428" w:rsidRDefault="00F82F2C">
            <w:pPr>
              <w:jc w:val="center"/>
              <w:rPr>
                <w:b/>
                <w:bCs/>
                <w:sz w:val="18"/>
                <w:szCs w:val="18"/>
              </w:rPr>
            </w:pPr>
            <w:r w:rsidRPr="004A2428">
              <w:rPr>
                <w:b/>
                <w:bCs/>
                <w:sz w:val="18"/>
                <w:szCs w:val="18"/>
              </w:rPr>
              <w:t xml:space="preserve">Weekend </w:t>
            </w:r>
            <w:r w:rsidRPr="004A2428">
              <w:rPr>
                <w:b/>
                <w:bCs/>
                <w:sz w:val="18"/>
                <w:szCs w:val="18"/>
              </w:rPr>
              <w:br/>
              <w:t>Night</w:t>
            </w:r>
          </w:p>
        </w:tc>
        <w:tc>
          <w:tcPr>
            <w:tcW w:w="0" w:type="auto"/>
            <w:tcMar>
              <w:top w:w="15" w:type="dxa"/>
              <w:left w:w="15" w:type="dxa"/>
              <w:bottom w:w="15" w:type="dxa"/>
              <w:right w:w="15" w:type="dxa"/>
            </w:tcMar>
            <w:vAlign w:val="center"/>
            <w:hideMark/>
          </w:tcPr>
          <w:p w:rsidR="00F82F2C" w:rsidRPr="004A2428" w:rsidRDefault="00F82F2C">
            <w:pPr>
              <w:jc w:val="center"/>
              <w:rPr>
                <w:b/>
                <w:bCs/>
                <w:sz w:val="18"/>
                <w:szCs w:val="18"/>
              </w:rPr>
            </w:pPr>
            <w:r w:rsidRPr="004A2428">
              <w:rPr>
                <w:b/>
                <w:bCs/>
                <w:sz w:val="18"/>
                <w:szCs w:val="18"/>
              </w:rPr>
              <w:t>Weekly</w:t>
            </w:r>
          </w:p>
        </w:tc>
        <w:tc>
          <w:tcPr>
            <w:tcW w:w="0" w:type="auto"/>
            <w:tcMar>
              <w:top w:w="15" w:type="dxa"/>
              <w:left w:w="15" w:type="dxa"/>
              <w:bottom w:w="15" w:type="dxa"/>
              <w:right w:w="15" w:type="dxa"/>
            </w:tcMar>
            <w:vAlign w:val="center"/>
            <w:hideMark/>
          </w:tcPr>
          <w:p w:rsidR="00F82F2C" w:rsidRPr="004A2428" w:rsidRDefault="00F82F2C">
            <w:pPr>
              <w:jc w:val="center"/>
              <w:rPr>
                <w:b/>
                <w:bCs/>
                <w:sz w:val="18"/>
                <w:szCs w:val="18"/>
              </w:rPr>
            </w:pPr>
            <w:r w:rsidRPr="004A2428">
              <w:rPr>
                <w:b/>
                <w:bCs/>
                <w:sz w:val="18"/>
                <w:szCs w:val="18"/>
              </w:rPr>
              <w:t>Monthly</w:t>
            </w:r>
          </w:p>
        </w:tc>
        <w:tc>
          <w:tcPr>
            <w:tcW w:w="1333" w:type="dxa"/>
            <w:tcMar>
              <w:top w:w="15" w:type="dxa"/>
              <w:left w:w="15" w:type="dxa"/>
              <w:bottom w:w="15" w:type="dxa"/>
              <w:right w:w="15" w:type="dxa"/>
            </w:tcMar>
            <w:vAlign w:val="center"/>
            <w:hideMark/>
          </w:tcPr>
          <w:p w:rsidR="00F82F2C" w:rsidRPr="004A2428" w:rsidRDefault="00F82F2C">
            <w:pPr>
              <w:jc w:val="center"/>
              <w:rPr>
                <w:b/>
                <w:bCs/>
                <w:sz w:val="18"/>
                <w:szCs w:val="18"/>
              </w:rPr>
            </w:pPr>
            <w:r w:rsidRPr="004A2428">
              <w:rPr>
                <w:b/>
                <w:bCs/>
                <w:sz w:val="18"/>
                <w:szCs w:val="18"/>
              </w:rPr>
              <w:t>Min Stay</w:t>
            </w:r>
          </w:p>
        </w:tc>
        <w:tc>
          <w:tcPr>
            <w:tcW w:w="915" w:type="dxa"/>
            <w:tcMar>
              <w:top w:w="15" w:type="dxa"/>
              <w:left w:w="15" w:type="dxa"/>
              <w:bottom w:w="15" w:type="dxa"/>
              <w:right w:w="15" w:type="dxa"/>
            </w:tcMar>
            <w:vAlign w:val="center"/>
            <w:hideMark/>
          </w:tcPr>
          <w:p w:rsidR="00F82F2C" w:rsidRDefault="00F82F2C">
            <w:pPr>
              <w:spacing w:after="0"/>
            </w:pPr>
          </w:p>
        </w:tc>
      </w:tr>
      <w:tr w:rsidR="004A2428" w:rsidTr="004A2428">
        <w:trPr>
          <w:tblCellSpacing w:w="15" w:type="dxa"/>
        </w:trPr>
        <w:tc>
          <w:tcPr>
            <w:tcW w:w="0" w:type="auto"/>
            <w:tcMar>
              <w:top w:w="15" w:type="dxa"/>
              <w:left w:w="15" w:type="dxa"/>
              <w:bottom w:w="15" w:type="dxa"/>
              <w:right w:w="15" w:type="dxa"/>
            </w:tcMar>
            <w:vAlign w:val="center"/>
            <w:hideMark/>
          </w:tcPr>
          <w:p w:rsidR="00F82F2C" w:rsidRPr="004A2428" w:rsidRDefault="00A1397B" w:rsidP="004A2428">
            <w:pPr>
              <w:rPr>
                <w:sz w:val="18"/>
                <w:szCs w:val="18"/>
              </w:rPr>
            </w:pPr>
            <w:r w:rsidRPr="004A2428">
              <w:rPr>
                <w:sz w:val="18"/>
                <w:szCs w:val="18"/>
              </w:rPr>
              <w:t>S</w:t>
            </w:r>
            <w:r w:rsidR="004A2428" w:rsidRPr="004A2428">
              <w:rPr>
                <w:sz w:val="18"/>
                <w:szCs w:val="18"/>
              </w:rPr>
              <w:t>PRING</w:t>
            </w:r>
            <w:r w:rsidRPr="004A2428">
              <w:rPr>
                <w:sz w:val="18"/>
                <w:szCs w:val="18"/>
              </w:rPr>
              <w:t xml:space="preserve"> </w:t>
            </w:r>
          </w:p>
        </w:tc>
        <w:tc>
          <w:tcPr>
            <w:tcW w:w="0" w:type="auto"/>
            <w:tcMar>
              <w:top w:w="15" w:type="dxa"/>
              <w:left w:w="15" w:type="dxa"/>
              <w:bottom w:w="15" w:type="dxa"/>
              <w:right w:w="15" w:type="dxa"/>
            </w:tcMar>
            <w:vAlign w:val="center"/>
            <w:hideMark/>
          </w:tcPr>
          <w:p w:rsidR="00F82F2C" w:rsidRPr="004A2428" w:rsidRDefault="004A2428" w:rsidP="004A2428">
            <w:pPr>
              <w:rPr>
                <w:sz w:val="18"/>
                <w:szCs w:val="18"/>
              </w:rPr>
            </w:pPr>
            <w:r w:rsidRPr="004A2428">
              <w:rPr>
                <w:sz w:val="18"/>
                <w:szCs w:val="18"/>
              </w:rPr>
              <w:t>0</w:t>
            </w:r>
            <w:r w:rsidRPr="004A2428">
              <w:rPr>
                <w:sz w:val="18"/>
                <w:szCs w:val="18"/>
              </w:rPr>
              <w:t>4</w:t>
            </w:r>
            <w:r w:rsidRPr="004A2428">
              <w:rPr>
                <w:sz w:val="18"/>
                <w:szCs w:val="18"/>
              </w:rPr>
              <w:t>/01/2012</w:t>
            </w:r>
          </w:p>
        </w:tc>
        <w:tc>
          <w:tcPr>
            <w:tcW w:w="0" w:type="auto"/>
            <w:tcMar>
              <w:top w:w="15" w:type="dxa"/>
              <w:left w:w="15" w:type="dxa"/>
              <w:bottom w:w="15" w:type="dxa"/>
              <w:right w:w="15" w:type="dxa"/>
            </w:tcMar>
            <w:vAlign w:val="center"/>
            <w:hideMark/>
          </w:tcPr>
          <w:p w:rsidR="00F82F2C" w:rsidRPr="004A2428" w:rsidRDefault="004A2428" w:rsidP="004A2428">
            <w:pPr>
              <w:rPr>
                <w:sz w:val="18"/>
                <w:szCs w:val="18"/>
              </w:rPr>
            </w:pPr>
            <w:r w:rsidRPr="004A2428">
              <w:rPr>
                <w:sz w:val="18"/>
                <w:szCs w:val="18"/>
              </w:rPr>
              <w:t>06/30/2012</w:t>
            </w:r>
          </w:p>
        </w:tc>
        <w:tc>
          <w:tcPr>
            <w:tcW w:w="0" w:type="auto"/>
            <w:tcMar>
              <w:top w:w="15" w:type="dxa"/>
              <w:left w:w="15" w:type="dxa"/>
              <w:bottom w:w="15" w:type="dxa"/>
              <w:right w:w="15" w:type="dxa"/>
            </w:tcMar>
            <w:vAlign w:val="center"/>
            <w:hideMark/>
          </w:tcPr>
          <w:p w:rsidR="00F82F2C" w:rsidRPr="004A2428" w:rsidRDefault="00F82F2C">
            <w:pPr>
              <w:rPr>
                <w:sz w:val="18"/>
                <w:szCs w:val="18"/>
              </w:rPr>
            </w:pPr>
            <w:r w:rsidRPr="004A2428">
              <w:rPr>
                <w:sz w:val="18"/>
                <w:szCs w:val="18"/>
              </w:rPr>
              <w:t>0</w:t>
            </w:r>
          </w:p>
        </w:tc>
        <w:tc>
          <w:tcPr>
            <w:tcW w:w="0" w:type="auto"/>
            <w:tcMar>
              <w:top w:w="15" w:type="dxa"/>
              <w:left w:w="15" w:type="dxa"/>
              <w:bottom w:w="15" w:type="dxa"/>
              <w:right w:w="15" w:type="dxa"/>
            </w:tcMar>
            <w:vAlign w:val="center"/>
            <w:hideMark/>
          </w:tcPr>
          <w:p w:rsidR="00F82F2C" w:rsidRPr="004A2428" w:rsidRDefault="00F82F2C">
            <w:pPr>
              <w:rPr>
                <w:sz w:val="18"/>
                <w:szCs w:val="18"/>
              </w:rPr>
            </w:pPr>
            <w:r w:rsidRPr="004A2428">
              <w:rPr>
                <w:sz w:val="18"/>
                <w:szCs w:val="18"/>
              </w:rPr>
              <w:t>0</w:t>
            </w:r>
          </w:p>
        </w:tc>
        <w:tc>
          <w:tcPr>
            <w:tcW w:w="0" w:type="auto"/>
            <w:tcMar>
              <w:top w:w="15" w:type="dxa"/>
              <w:left w:w="15" w:type="dxa"/>
              <w:bottom w:w="15" w:type="dxa"/>
              <w:right w:w="15" w:type="dxa"/>
            </w:tcMar>
            <w:vAlign w:val="center"/>
            <w:hideMark/>
          </w:tcPr>
          <w:p w:rsidR="00F82F2C" w:rsidRPr="004A2428" w:rsidRDefault="004A2428">
            <w:pPr>
              <w:rPr>
                <w:sz w:val="18"/>
                <w:szCs w:val="18"/>
              </w:rPr>
            </w:pPr>
            <w:r w:rsidRPr="004A2428">
              <w:rPr>
                <w:sz w:val="18"/>
                <w:szCs w:val="18"/>
              </w:rPr>
              <w:t>65</w:t>
            </w:r>
            <w:r w:rsidR="00F82F2C" w:rsidRPr="004A2428">
              <w:rPr>
                <w:sz w:val="18"/>
                <w:szCs w:val="18"/>
              </w:rPr>
              <w:t>0</w:t>
            </w:r>
          </w:p>
        </w:tc>
        <w:tc>
          <w:tcPr>
            <w:tcW w:w="0" w:type="auto"/>
            <w:tcMar>
              <w:top w:w="15" w:type="dxa"/>
              <w:left w:w="15" w:type="dxa"/>
              <w:bottom w:w="15" w:type="dxa"/>
              <w:right w:w="15" w:type="dxa"/>
            </w:tcMar>
            <w:vAlign w:val="center"/>
            <w:hideMark/>
          </w:tcPr>
          <w:p w:rsidR="00F82F2C" w:rsidRPr="004A2428" w:rsidRDefault="004A2428" w:rsidP="004A2428">
            <w:pPr>
              <w:rPr>
                <w:sz w:val="18"/>
                <w:szCs w:val="18"/>
              </w:rPr>
            </w:pPr>
            <w:r w:rsidRPr="004A2428">
              <w:rPr>
                <w:sz w:val="18"/>
                <w:szCs w:val="18"/>
              </w:rPr>
              <w:t>1,800</w:t>
            </w:r>
          </w:p>
        </w:tc>
        <w:tc>
          <w:tcPr>
            <w:tcW w:w="1333" w:type="dxa"/>
            <w:tcMar>
              <w:top w:w="15" w:type="dxa"/>
              <w:left w:w="15" w:type="dxa"/>
              <w:bottom w:w="15" w:type="dxa"/>
              <w:right w:w="15" w:type="dxa"/>
            </w:tcMar>
            <w:vAlign w:val="center"/>
            <w:hideMark/>
          </w:tcPr>
          <w:p w:rsidR="00F82F2C" w:rsidRPr="004A2428" w:rsidRDefault="004A2428">
            <w:pPr>
              <w:rPr>
                <w:sz w:val="18"/>
                <w:szCs w:val="18"/>
              </w:rPr>
            </w:pPr>
            <w:r w:rsidRPr="004A2428">
              <w:rPr>
                <w:sz w:val="18"/>
                <w:szCs w:val="18"/>
              </w:rPr>
              <w:t>10</w:t>
            </w:r>
            <w:r w:rsidR="00F82F2C" w:rsidRPr="004A2428">
              <w:rPr>
                <w:sz w:val="18"/>
                <w:szCs w:val="18"/>
              </w:rPr>
              <w:t xml:space="preserve"> Nights</w:t>
            </w:r>
          </w:p>
        </w:tc>
        <w:tc>
          <w:tcPr>
            <w:tcW w:w="915" w:type="dxa"/>
            <w:tcMar>
              <w:top w:w="15" w:type="dxa"/>
              <w:left w:w="15" w:type="dxa"/>
              <w:bottom w:w="15" w:type="dxa"/>
              <w:right w:w="15" w:type="dxa"/>
            </w:tcMar>
            <w:vAlign w:val="center"/>
          </w:tcPr>
          <w:p w:rsidR="00F82F2C" w:rsidRDefault="00F82F2C">
            <w:pPr>
              <w:rPr>
                <w:sz w:val="24"/>
                <w:szCs w:val="24"/>
              </w:rPr>
            </w:pPr>
          </w:p>
        </w:tc>
      </w:tr>
      <w:tr w:rsidR="004A2428" w:rsidTr="004A2428">
        <w:trPr>
          <w:tblCellSpacing w:w="15" w:type="dxa"/>
        </w:trPr>
        <w:tc>
          <w:tcPr>
            <w:tcW w:w="0" w:type="auto"/>
            <w:tcMar>
              <w:top w:w="15" w:type="dxa"/>
              <w:left w:w="15" w:type="dxa"/>
              <w:bottom w:w="15" w:type="dxa"/>
              <w:right w:w="15" w:type="dxa"/>
            </w:tcMar>
            <w:vAlign w:val="center"/>
            <w:hideMark/>
          </w:tcPr>
          <w:p w:rsidR="00F82F2C" w:rsidRPr="004A2428" w:rsidRDefault="004A2428">
            <w:pPr>
              <w:rPr>
                <w:sz w:val="18"/>
                <w:szCs w:val="18"/>
              </w:rPr>
            </w:pPr>
            <w:r w:rsidRPr="004A2428">
              <w:rPr>
                <w:sz w:val="18"/>
                <w:szCs w:val="18"/>
              </w:rPr>
              <w:t>SUMMER</w:t>
            </w:r>
          </w:p>
        </w:tc>
        <w:tc>
          <w:tcPr>
            <w:tcW w:w="0" w:type="auto"/>
            <w:tcMar>
              <w:top w:w="15" w:type="dxa"/>
              <w:left w:w="15" w:type="dxa"/>
              <w:bottom w:w="15" w:type="dxa"/>
              <w:right w:w="15" w:type="dxa"/>
            </w:tcMar>
            <w:vAlign w:val="center"/>
            <w:hideMark/>
          </w:tcPr>
          <w:p w:rsidR="00F82F2C" w:rsidRPr="004A2428" w:rsidRDefault="004A2428" w:rsidP="004A2428">
            <w:pPr>
              <w:rPr>
                <w:sz w:val="18"/>
                <w:szCs w:val="18"/>
              </w:rPr>
            </w:pPr>
            <w:r w:rsidRPr="004A2428">
              <w:rPr>
                <w:sz w:val="18"/>
                <w:szCs w:val="18"/>
              </w:rPr>
              <w:t>07</w:t>
            </w:r>
            <w:r w:rsidR="00F82F2C" w:rsidRPr="004A2428">
              <w:rPr>
                <w:sz w:val="18"/>
                <w:szCs w:val="18"/>
              </w:rPr>
              <w:t>/</w:t>
            </w:r>
            <w:r w:rsidRPr="004A2428">
              <w:rPr>
                <w:sz w:val="18"/>
                <w:szCs w:val="18"/>
              </w:rPr>
              <w:t>01</w:t>
            </w:r>
            <w:r w:rsidR="00F82F2C" w:rsidRPr="004A2428">
              <w:rPr>
                <w:sz w:val="18"/>
                <w:szCs w:val="18"/>
              </w:rPr>
              <w:t>/201</w:t>
            </w:r>
            <w:r w:rsidRPr="004A2428">
              <w:rPr>
                <w:sz w:val="18"/>
                <w:szCs w:val="18"/>
              </w:rPr>
              <w:t>2</w:t>
            </w:r>
          </w:p>
        </w:tc>
        <w:tc>
          <w:tcPr>
            <w:tcW w:w="0" w:type="auto"/>
            <w:tcMar>
              <w:top w:w="15" w:type="dxa"/>
              <w:left w:w="15" w:type="dxa"/>
              <w:bottom w:w="15" w:type="dxa"/>
              <w:right w:w="15" w:type="dxa"/>
            </w:tcMar>
            <w:vAlign w:val="center"/>
            <w:hideMark/>
          </w:tcPr>
          <w:p w:rsidR="00F82F2C" w:rsidRPr="004A2428" w:rsidRDefault="004A2428">
            <w:pPr>
              <w:rPr>
                <w:sz w:val="18"/>
                <w:szCs w:val="18"/>
              </w:rPr>
            </w:pPr>
            <w:r w:rsidRPr="004A2428">
              <w:rPr>
                <w:sz w:val="18"/>
                <w:szCs w:val="18"/>
              </w:rPr>
              <w:t>08</w:t>
            </w:r>
            <w:r w:rsidR="00F82F2C" w:rsidRPr="004A2428">
              <w:rPr>
                <w:sz w:val="18"/>
                <w:szCs w:val="18"/>
              </w:rPr>
              <w:t>/30/2012</w:t>
            </w:r>
          </w:p>
        </w:tc>
        <w:tc>
          <w:tcPr>
            <w:tcW w:w="0" w:type="auto"/>
            <w:tcMar>
              <w:top w:w="15" w:type="dxa"/>
              <w:left w:w="15" w:type="dxa"/>
              <w:bottom w:w="15" w:type="dxa"/>
              <w:right w:w="15" w:type="dxa"/>
            </w:tcMar>
            <w:vAlign w:val="center"/>
            <w:hideMark/>
          </w:tcPr>
          <w:p w:rsidR="00F82F2C" w:rsidRPr="004A2428" w:rsidRDefault="00F82F2C">
            <w:pPr>
              <w:rPr>
                <w:sz w:val="18"/>
                <w:szCs w:val="18"/>
              </w:rPr>
            </w:pPr>
            <w:r w:rsidRPr="004A2428">
              <w:rPr>
                <w:sz w:val="18"/>
                <w:szCs w:val="18"/>
              </w:rPr>
              <w:t>0</w:t>
            </w:r>
          </w:p>
        </w:tc>
        <w:tc>
          <w:tcPr>
            <w:tcW w:w="0" w:type="auto"/>
            <w:tcMar>
              <w:top w:w="15" w:type="dxa"/>
              <w:left w:w="15" w:type="dxa"/>
              <w:bottom w:w="15" w:type="dxa"/>
              <w:right w:w="15" w:type="dxa"/>
            </w:tcMar>
            <w:vAlign w:val="center"/>
            <w:hideMark/>
          </w:tcPr>
          <w:p w:rsidR="00F82F2C" w:rsidRPr="004A2428" w:rsidRDefault="00F82F2C">
            <w:pPr>
              <w:rPr>
                <w:sz w:val="18"/>
                <w:szCs w:val="18"/>
              </w:rPr>
            </w:pPr>
            <w:r w:rsidRPr="004A2428">
              <w:rPr>
                <w:sz w:val="18"/>
                <w:szCs w:val="18"/>
              </w:rPr>
              <w:t>0</w:t>
            </w:r>
          </w:p>
        </w:tc>
        <w:tc>
          <w:tcPr>
            <w:tcW w:w="0" w:type="auto"/>
            <w:tcMar>
              <w:top w:w="15" w:type="dxa"/>
              <w:left w:w="15" w:type="dxa"/>
              <w:bottom w:w="15" w:type="dxa"/>
              <w:right w:w="15" w:type="dxa"/>
            </w:tcMar>
            <w:vAlign w:val="center"/>
            <w:hideMark/>
          </w:tcPr>
          <w:p w:rsidR="00F82F2C" w:rsidRPr="004A2428" w:rsidRDefault="004A2428" w:rsidP="004A2428">
            <w:pPr>
              <w:rPr>
                <w:sz w:val="18"/>
                <w:szCs w:val="18"/>
              </w:rPr>
            </w:pPr>
            <w:r w:rsidRPr="004A2428">
              <w:rPr>
                <w:sz w:val="18"/>
                <w:szCs w:val="18"/>
              </w:rPr>
              <w:t>675</w:t>
            </w:r>
          </w:p>
        </w:tc>
        <w:tc>
          <w:tcPr>
            <w:tcW w:w="0" w:type="auto"/>
            <w:tcMar>
              <w:top w:w="15" w:type="dxa"/>
              <w:left w:w="15" w:type="dxa"/>
              <w:bottom w:w="15" w:type="dxa"/>
              <w:right w:w="15" w:type="dxa"/>
            </w:tcMar>
            <w:vAlign w:val="center"/>
            <w:hideMark/>
          </w:tcPr>
          <w:p w:rsidR="00F82F2C" w:rsidRPr="004A2428" w:rsidRDefault="004A2428">
            <w:pPr>
              <w:rPr>
                <w:sz w:val="18"/>
                <w:szCs w:val="18"/>
              </w:rPr>
            </w:pPr>
            <w:r w:rsidRPr="004A2428">
              <w:rPr>
                <w:sz w:val="18"/>
                <w:szCs w:val="18"/>
              </w:rPr>
              <w:t>1,850</w:t>
            </w:r>
          </w:p>
        </w:tc>
        <w:tc>
          <w:tcPr>
            <w:tcW w:w="1333" w:type="dxa"/>
            <w:tcMar>
              <w:top w:w="15" w:type="dxa"/>
              <w:left w:w="15" w:type="dxa"/>
              <w:bottom w:w="15" w:type="dxa"/>
              <w:right w:w="15" w:type="dxa"/>
            </w:tcMar>
            <w:vAlign w:val="center"/>
            <w:hideMark/>
          </w:tcPr>
          <w:p w:rsidR="00F82F2C" w:rsidRPr="004A2428" w:rsidRDefault="004A2428">
            <w:pPr>
              <w:rPr>
                <w:sz w:val="18"/>
                <w:szCs w:val="18"/>
              </w:rPr>
            </w:pPr>
            <w:r w:rsidRPr="004A2428">
              <w:rPr>
                <w:sz w:val="18"/>
                <w:szCs w:val="18"/>
              </w:rPr>
              <w:t>10</w:t>
            </w:r>
            <w:r w:rsidR="00F82F2C" w:rsidRPr="004A2428">
              <w:rPr>
                <w:sz w:val="18"/>
                <w:szCs w:val="18"/>
              </w:rPr>
              <w:t xml:space="preserve"> Nights</w:t>
            </w:r>
          </w:p>
        </w:tc>
        <w:tc>
          <w:tcPr>
            <w:tcW w:w="915" w:type="dxa"/>
            <w:tcMar>
              <w:top w:w="15" w:type="dxa"/>
              <w:left w:w="15" w:type="dxa"/>
              <w:bottom w:w="15" w:type="dxa"/>
              <w:right w:w="15" w:type="dxa"/>
            </w:tcMar>
            <w:vAlign w:val="center"/>
          </w:tcPr>
          <w:p w:rsidR="00F82F2C" w:rsidRDefault="00F82F2C">
            <w:pPr>
              <w:rPr>
                <w:sz w:val="24"/>
                <w:szCs w:val="24"/>
              </w:rPr>
            </w:pPr>
          </w:p>
        </w:tc>
      </w:tr>
      <w:tr w:rsidR="004A2428" w:rsidTr="004A2428">
        <w:trPr>
          <w:tblCellSpacing w:w="15" w:type="dxa"/>
        </w:trPr>
        <w:tc>
          <w:tcPr>
            <w:tcW w:w="0" w:type="auto"/>
            <w:tcMar>
              <w:top w:w="15" w:type="dxa"/>
              <w:left w:w="15" w:type="dxa"/>
              <w:bottom w:w="15" w:type="dxa"/>
              <w:right w:w="15" w:type="dxa"/>
            </w:tcMar>
            <w:vAlign w:val="center"/>
            <w:hideMark/>
          </w:tcPr>
          <w:p w:rsidR="00F82F2C" w:rsidRPr="004A2428" w:rsidRDefault="004A2428" w:rsidP="004A2428">
            <w:pPr>
              <w:rPr>
                <w:sz w:val="18"/>
                <w:szCs w:val="18"/>
              </w:rPr>
            </w:pPr>
            <w:r w:rsidRPr="004A2428">
              <w:rPr>
                <w:sz w:val="18"/>
                <w:szCs w:val="18"/>
              </w:rPr>
              <w:t>FALL</w:t>
            </w:r>
          </w:p>
        </w:tc>
        <w:tc>
          <w:tcPr>
            <w:tcW w:w="0" w:type="auto"/>
            <w:tcMar>
              <w:top w:w="15" w:type="dxa"/>
              <w:left w:w="15" w:type="dxa"/>
              <w:bottom w:w="15" w:type="dxa"/>
              <w:right w:w="15" w:type="dxa"/>
            </w:tcMar>
            <w:vAlign w:val="center"/>
            <w:hideMark/>
          </w:tcPr>
          <w:p w:rsidR="00F82F2C" w:rsidRPr="004A2428" w:rsidRDefault="004A2428">
            <w:pPr>
              <w:rPr>
                <w:sz w:val="18"/>
                <w:szCs w:val="18"/>
              </w:rPr>
            </w:pPr>
            <w:r w:rsidRPr="004A2428">
              <w:rPr>
                <w:sz w:val="18"/>
                <w:szCs w:val="18"/>
              </w:rPr>
              <w:t>09</w:t>
            </w:r>
            <w:r w:rsidR="00F82F2C" w:rsidRPr="004A2428">
              <w:rPr>
                <w:sz w:val="18"/>
                <w:szCs w:val="18"/>
              </w:rPr>
              <w:t>/01/2012</w:t>
            </w:r>
          </w:p>
        </w:tc>
        <w:tc>
          <w:tcPr>
            <w:tcW w:w="0" w:type="auto"/>
            <w:tcMar>
              <w:top w:w="15" w:type="dxa"/>
              <w:left w:w="15" w:type="dxa"/>
              <w:bottom w:w="15" w:type="dxa"/>
              <w:right w:w="15" w:type="dxa"/>
            </w:tcMar>
            <w:vAlign w:val="center"/>
            <w:hideMark/>
          </w:tcPr>
          <w:p w:rsidR="00F82F2C" w:rsidRPr="004A2428" w:rsidRDefault="004A2428">
            <w:pPr>
              <w:rPr>
                <w:sz w:val="18"/>
                <w:szCs w:val="18"/>
              </w:rPr>
            </w:pPr>
            <w:r w:rsidRPr="004A2428">
              <w:rPr>
                <w:sz w:val="18"/>
                <w:szCs w:val="18"/>
              </w:rPr>
              <w:t>11</w:t>
            </w:r>
            <w:r w:rsidR="00F82F2C" w:rsidRPr="004A2428">
              <w:rPr>
                <w:sz w:val="18"/>
                <w:szCs w:val="18"/>
              </w:rPr>
              <w:t>/30/2012</w:t>
            </w:r>
          </w:p>
        </w:tc>
        <w:tc>
          <w:tcPr>
            <w:tcW w:w="0" w:type="auto"/>
            <w:tcMar>
              <w:top w:w="15" w:type="dxa"/>
              <w:left w:w="15" w:type="dxa"/>
              <w:bottom w:w="15" w:type="dxa"/>
              <w:right w:w="15" w:type="dxa"/>
            </w:tcMar>
            <w:vAlign w:val="center"/>
            <w:hideMark/>
          </w:tcPr>
          <w:p w:rsidR="00F82F2C" w:rsidRPr="004A2428" w:rsidRDefault="00F82F2C">
            <w:pPr>
              <w:rPr>
                <w:sz w:val="18"/>
                <w:szCs w:val="18"/>
              </w:rPr>
            </w:pPr>
            <w:r w:rsidRPr="004A2428">
              <w:rPr>
                <w:sz w:val="18"/>
                <w:szCs w:val="18"/>
              </w:rPr>
              <w:t>0</w:t>
            </w:r>
          </w:p>
        </w:tc>
        <w:tc>
          <w:tcPr>
            <w:tcW w:w="0" w:type="auto"/>
            <w:tcMar>
              <w:top w:w="15" w:type="dxa"/>
              <w:left w:w="15" w:type="dxa"/>
              <w:bottom w:w="15" w:type="dxa"/>
              <w:right w:w="15" w:type="dxa"/>
            </w:tcMar>
            <w:vAlign w:val="center"/>
            <w:hideMark/>
          </w:tcPr>
          <w:p w:rsidR="00F82F2C" w:rsidRPr="004A2428" w:rsidRDefault="00F82F2C">
            <w:pPr>
              <w:rPr>
                <w:sz w:val="18"/>
                <w:szCs w:val="18"/>
              </w:rPr>
            </w:pPr>
            <w:r w:rsidRPr="004A2428">
              <w:rPr>
                <w:sz w:val="18"/>
                <w:szCs w:val="18"/>
              </w:rPr>
              <w:t>0</w:t>
            </w:r>
          </w:p>
        </w:tc>
        <w:tc>
          <w:tcPr>
            <w:tcW w:w="0" w:type="auto"/>
            <w:tcMar>
              <w:top w:w="15" w:type="dxa"/>
              <w:left w:w="15" w:type="dxa"/>
              <w:bottom w:w="15" w:type="dxa"/>
              <w:right w:w="15" w:type="dxa"/>
            </w:tcMar>
            <w:vAlign w:val="center"/>
            <w:hideMark/>
          </w:tcPr>
          <w:p w:rsidR="00F82F2C" w:rsidRPr="004A2428" w:rsidRDefault="004A2428" w:rsidP="004A2428">
            <w:pPr>
              <w:rPr>
                <w:sz w:val="18"/>
                <w:szCs w:val="18"/>
              </w:rPr>
            </w:pPr>
            <w:r w:rsidRPr="004A2428">
              <w:rPr>
                <w:sz w:val="18"/>
                <w:szCs w:val="18"/>
              </w:rPr>
              <w:t>600</w:t>
            </w:r>
          </w:p>
        </w:tc>
        <w:tc>
          <w:tcPr>
            <w:tcW w:w="0" w:type="auto"/>
            <w:tcMar>
              <w:top w:w="15" w:type="dxa"/>
              <w:left w:w="15" w:type="dxa"/>
              <w:bottom w:w="15" w:type="dxa"/>
              <w:right w:w="15" w:type="dxa"/>
            </w:tcMar>
            <w:vAlign w:val="center"/>
            <w:hideMark/>
          </w:tcPr>
          <w:p w:rsidR="00F82F2C" w:rsidRPr="004A2428" w:rsidRDefault="00F82F2C" w:rsidP="004A2428">
            <w:pPr>
              <w:rPr>
                <w:sz w:val="18"/>
                <w:szCs w:val="18"/>
              </w:rPr>
            </w:pPr>
            <w:r w:rsidRPr="004A2428">
              <w:rPr>
                <w:sz w:val="18"/>
                <w:szCs w:val="18"/>
              </w:rPr>
              <w:t>1</w:t>
            </w:r>
            <w:r w:rsidR="004A2428" w:rsidRPr="004A2428">
              <w:rPr>
                <w:sz w:val="18"/>
                <w:szCs w:val="18"/>
              </w:rPr>
              <w:t>,750</w:t>
            </w:r>
          </w:p>
        </w:tc>
        <w:tc>
          <w:tcPr>
            <w:tcW w:w="1333" w:type="dxa"/>
            <w:tcMar>
              <w:top w:w="15" w:type="dxa"/>
              <w:left w:w="15" w:type="dxa"/>
              <w:bottom w:w="15" w:type="dxa"/>
              <w:right w:w="15" w:type="dxa"/>
            </w:tcMar>
            <w:vAlign w:val="center"/>
            <w:hideMark/>
          </w:tcPr>
          <w:p w:rsidR="00F82F2C" w:rsidRPr="004A2428" w:rsidRDefault="00F82F2C" w:rsidP="004A2428">
            <w:pPr>
              <w:rPr>
                <w:sz w:val="18"/>
                <w:szCs w:val="18"/>
              </w:rPr>
            </w:pPr>
            <w:r w:rsidRPr="004A2428">
              <w:rPr>
                <w:sz w:val="18"/>
                <w:szCs w:val="18"/>
              </w:rPr>
              <w:t>1</w:t>
            </w:r>
            <w:r w:rsidR="004A2428" w:rsidRPr="004A2428">
              <w:rPr>
                <w:sz w:val="18"/>
                <w:szCs w:val="18"/>
              </w:rPr>
              <w:t>0</w:t>
            </w:r>
            <w:r w:rsidRPr="004A2428">
              <w:rPr>
                <w:sz w:val="18"/>
                <w:szCs w:val="18"/>
              </w:rPr>
              <w:t xml:space="preserve"> Nights</w:t>
            </w:r>
          </w:p>
        </w:tc>
        <w:tc>
          <w:tcPr>
            <w:tcW w:w="915" w:type="dxa"/>
            <w:tcMar>
              <w:top w:w="15" w:type="dxa"/>
              <w:left w:w="15" w:type="dxa"/>
              <w:bottom w:w="15" w:type="dxa"/>
              <w:right w:w="15" w:type="dxa"/>
            </w:tcMar>
            <w:vAlign w:val="center"/>
            <w:hideMark/>
          </w:tcPr>
          <w:p w:rsidR="00F82F2C" w:rsidRDefault="00F82F2C">
            <w:pPr>
              <w:spacing w:after="0"/>
            </w:pPr>
          </w:p>
        </w:tc>
      </w:tr>
      <w:tr w:rsidR="004A2428" w:rsidTr="004A2428">
        <w:trPr>
          <w:tblCellSpacing w:w="15" w:type="dxa"/>
        </w:trPr>
        <w:tc>
          <w:tcPr>
            <w:tcW w:w="0" w:type="auto"/>
            <w:tcMar>
              <w:top w:w="15" w:type="dxa"/>
              <w:left w:w="15" w:type="dxa"/>
              <w:bottom w:w="15" w:type="dxa"/>
              <w:right w:w="15" w:type="dxa"/>
            </w:tcMar>
            <w:vAlign w:val="center"/>
            <w:hideMark/>
          </w:tcPr>
          <w:p w:rsidR="00F82F2C" w:rsidRPr="004A2428" w:rsidRDefault="004A2428" w:rsidP="00A1397B">
            <w:pPr>
              <w:rPr>
                <w:sz w:val="18"/>
                <w:szCs w:val="18"/>
              </w:rPr>
            </w:pPr>
            <w:r w:rsidRPr="004A2428">
              <w:rPr>
                <w:sz w:val="18"/>
                <w:szCs w:val="18"/>
              </w:rPr>
              <w:t>WINTER-1</w:t>
            </w:r>
          </w:p>
        </w:tc>
        <w:tc>
          <w:tcPr>
            <w:tcW w:w="0" w:type="auto"/>
            <w:tcMar>
              <w:top w:w="15" w:type="dxa"/>
              <w:left w:w="15" w:type="dxa"/>
              <w:bottom w:w="15" w:type="dxa"/>
              <w:right w:w="15" w:type="dxa"/>
            </w:tcMar>
            <w:vAlign w:val="center"/>
            <w:hideMark/>
          </w:tcPr>
          <w:p w:rsidR="00F82F2C" w:rsidRPr="004A2428" w:rsidRDefault="004A2428" w:rsidP="004A2428">
            <w:pPr>
              <w:rPr>
                <w:sz w:val="18"/>
                <w:szCs w:val="18"/>
              </w:rPr>
            </w:pPr>
            <w:r w:rsidRPr="004A2428">
              <w:rPr>
                <w:sz w:val="18"/>
                <w:szCs w:val="18"/>
              </w:rPr>
              <w:t>12</w:t>
            </w:r>
            <w:r w:rsidRPr="004A2428">
              <w:rPr>
                <w:sz w:val="18"/>
                <w:szCs w:val="18"/>
              </w:rPr>
              <w:t>/01/201</w:t>
            </w:r>
            <w:r w:rsidRPr="004A2428">
              <w:rPr>
                <w:sz w:val="18"/>
                <w:szCs w:val="18"/>
              </w:rPr>
              <w:t>2</w:t>
            </w:r>
          </w:p>
        </w:tc>
        <w:tc>
          <w:tcPr>
            <w:tcW w:w="0" w:type="auto"/>
            <w:tcMar>
              <w:top w:w="15" w:type="dxa"/>
              <w:left w:w="15" w:type="dxa"/>
              <w:bottom w:w="15" w:type="dxa"/>
              <w:right w:w="15" w:type="dxa"/>
            </w:tcMar>
            <w:vAlign w:val="center"/>
            <w:hideMark/>
          </w:tcPr>
          <w:p w:rsidR="00F82F2C" w:rsidRPr="004A2428" w:rsidRDefault="004A2428" w:rsidP="004A2428">
            <w:pPr>
              <w:rPr>
                <w:sz w:val="18"/>
                <w:szCs w:val="18"/>
              </w:rPr>
            </w:pPr>
            <w:r w:rsidRPr="004A2428">
              <w:rPr>
                <w:sz w:val="18"/>
                <w:szCs w:val="18"/>
              </w:rPr>
              <w:t>12</w:t>
            </w:r>
            <w:r w:rsidR="00F82F2C" w:rsidRPr="004A2428">
              <w:rPr>
                <w:sz w:val="18"/>
                <w:szCs w:val="18"/>
              </w:rPr>
              <w:t>/</w:t>
            </w:r>
            <w:r w:rsidRPr="004A2428">
              <w:rPr>
                <w:sz w:val="18"/>
                <w:szCs w:val="18"/>
              </w:rPr>
              <w:t>15</w:t>
            </w:r>
            <w:r w:rsidR="00F82F2C" w:rsidRPr="004A2428">
              <w:rPr>
                <w:sz w:val="18"/>
                <w:szCs w:val="18"/>
              </w:rPr>
              <w:t>/2012</w:t>
            </w:r>
          </w:p>
        </w:tc>
        <w:tc>
          <w:tcPr>
            <w:tcW w:w="0" w:type="auto"/>
            <w:tcMar>
              <w:top w:w="15" w:type="dxa"/>
              <w:left w:w="15" w:type="dxa"/>
              <w:bottom w:w="15" w:type="dxa"/>
              <w:right w:w="15" w:type="dxa"/>
            </w:tcMar>
            <w:vAlign w:val="center"/>
            <w:hideMark/>
          </w:tcPr>
          <w:p w:rsidR="00F82F2C" w:rsidRPr="004A2428" w:rsidRDefault="00F82F2C">
            <w:pPr>
              <w:rPr>
                <w:sz w:val="18"/>
                <w:szCs w:val="18"/>
              </w:rPr>
            </w:pPr>
            <w:r w:rsidRPr="004A2428">
              <w:rPr>
                <w:sz w:val="18"/>
                <w:szCs w:val="18"/>
              </w:rPr>
              <w:t>0</w:t>
            </w:r>
          </w:p>
        </w:tc>
        <w:tc>
          <w:tcPr>
            <w:tcW w:w="0" w:type="auto"/>
            <w:tcMar>
              <w:top w:w="15" w:type="dxa"/>
              <w:left w:w="15" w:type="dxa"/>
              <w:bottom w:w="15" w:type="dxa"/>
              <w:right w:w="15" w:type="dxa"/>
            </w:tcMar>
            <w:vAlign w:val="center"/>
            <w:hideMark/>
          </w:tcPr>
          <w:p w:rsidR="00F82F2C" w:rsidRPr="004A2428" w:rsidRDefault="00F82F2C">
            <w:pPr>
              <w:rPr>
                <w:sz w:val="18"/>
                <w:szCs w:val="18"/>
              </w:rPr>
            </w:pPr>
            <w:r w:rsidRPr="004A2428">
              <w:rPr>
                <w:sz w:val="18"/>
                <w:szCs w:val="18"/>
              </w:rPr>
              <w:t>0</w:t>
            </w:r>
          </w:p>
        </w:tc>
        <w:tc>
          <w:tcPr>
            <w:tcW w:w="0" w:type="auto"/>
            <w:tcMar>
              <w:top w:w="15" w:type="dxa"/>
              <w:left w:w="15" w:type="dxa"/>
              <w:bottom w:w="15" w:type="dxa"/>
              <w:right w:w="15" w:type="dxa"/>
            </w:tcMar>
            <w:vAlign w:val="center"/>
            <w:hideMark/>
          </w:tcPr>
          <w:p w:rsidR="00F82F2C" w:rsidRPr="004A2428" w:rsidRDefault="004A2428">
            <w:pPr>
              <w:rPr>
                <w:sz w:val="18"/>
                <w:szCs w:val="18"/>
              </w:rPr>
            </w:pPr>
            <w:r w:rsidRPr="004A2428">
              <w:rPr>
                <w:sz w:val="18"/>
                <w:szCs w:val="18"/>
              </w:rPr>
              <w:t>750</w:t>
            </w:r>
          </w:p>
        </w:tc>
        <w:tc>
          <w:tcPr>
            <w:tcW w:w="0" w:type="auto"/>
            <w:tcMar>
              <w:top w:w="15" w:type="dxa"/>
              <w:left w:w="15" w:type="dxa"/>
              <w:bottom w:w="15" w:type="dxa"/>
              <w:right w:w="15" w:type="dxa"/>
            </w:tcMar>
            <w:vAlign w:val="center"/>
            <w:hideMark/>
          </w:tcPr>
          <w:p w:rsidR="00F82F2C" w:rsidRPr="004A2428" w:rsidRDefault="004A2428" w:rsidP="004A2428">
            <w:pPr>
              <w:rPr>
                <w:sz w:val="18"/>
                <w:szCs w:val="18"/>
              </w:rPr>
            </w:pPr>
            <w:r w:rsidRPr="004A2428">
              <w:rPr>
                <w:sz w:val="18"/>
                <w:szCs w:val="18"/>
              </w:rPr>
              <w:t>2,450</w:t>
            </w:r>
          </w:p>
        </w:tc>
        <w:tc>
          <w:tcPr>
            <w:tcW w:w="1333" w:type="dxa"/>
            <w:tcMar>
              <w:top w:w="15" w:type="dxa"/>
              <w:left w:w="15" w:type="dxa"/>
              <w:bottom w:w="15" w:type="dxa"/>
              <w:right w:w="15" w:type="dxa"/>
            </w:tcMar>
            <w:vAlign w:val="center"/>
            <w:hideMark/>
          </w:tcPr>
          <w:p w:rsidR="004A2428" w:rsidRPr="004A2428" w:rsidRDefault="004A2428" w:rsidP="004A2428">
            <w:pPr>
              <w:rPr>
                <w:sz w:val="18"/>
                <w:szCs w:val="18"/>
              </w:rPr>
            </w:pPr>
            <w:r w:rsidRPr="004A2428">
              <w:rPr>
                <w:sz w:val="18"/>
                <w:szCs w:val="18"/>
              </w:rPr>
              <w:t>14 Nights</w:t>
            </w:r>
          </w:p>
        </w:tc>
        <w:tc>
          <w:tcPr>
            <w:tcW w:w="915" w:type="dxa"/>
            <w:tcMar>
              <w:top w:w="15" w:type="dxa"/>
              <w:left w:w="15" w:type="dxa"/>
              <w:bottom w:w="15" w:type="dxa"/>
              <w:right w:w="15" w:type="dxa"/>
            </w:tcMar>
            <w:vAlign w:val="center"/>
            <w:hideMark/>
          </w:tcPr>
          <w:p w:rsidR="00F82F2C" w:rsidRDefault="00F82F2C">
            <w:pPr>
              <w:spacing w:after="0"/>
            </w:pPr>
          </w:p>
        </w:tc>
      </w:tr>
      <w:tr w:rsidR="00F82F2C" w:rsidTr="004A2428">
        <w:trPr>
          <w:tblCellSpacing w:w="15" w:type="dxa"/>
        </w:trPr>
        <w:tc>
          <w:tcPr>
            <w:tcW w:w="8281" w:type="dxa"/>
            <w:gridSpan w:val="8"/>
            <w:tcMar>
              <w:top w:w="15" w:type="dxa"/>
              <w:left w:w="15" w:type="dxa"/>
              <w:bottom w:w="15" w:type="dxa"/>
              <w:right w:w="15" w:type="dxa"/>
            </w:tcMar>
            <w:vAlign w:val="center"/>
            <w:hideMark/>
          </w:tcPr>
          <w:p w:rsidR="00F82F2C" w:rsidRPr="004A2428" w:rsidRDefault="00F82F2C">
            <w:pPr>
              <w:spacing w:after="0"/>
              <w:rPr>
                <w:sz w:val="18"/>
                <w:szCs w:val="18"/>
              </w:rPr>
            </w:pPr>
          </w:p>
        </w:tc>
        <w:tc>
          <w:tcPr>
            <w:tcW w:w="915" w:type="dxa"/>
            <w:tcMar>
              <w:top w:w="15" w:type="dxa"/>
              <w:left w:w="15" w:type="dxa"/>
              <w:bottom w:w="15" w:type="dxa"/>
              <w:right w:w="15" w:type="dxa"/>
            </w:tcMar>
            <w:vAlign w:val="center"/>
            <w:hideMark/>
          </w:tcPr>
          <w:p w:rsidR="00F82F2C" w:rsidRDefault="00F82F2C">
            <w:pPr>
              <w:spacing w:after="0"/>
            </w:pPr>
          </w:p>
        </w:tc>
      </w:tr>
      <w:tr w:rsidR="004A2428" w:rsidRPr="00A1397B" w:rsidTr="004A2428">
        <w:trPr>
          <w:gridAfter w:val="1"/>
          <w:wAfter w:w="915" w:type="dxa"/>
          <w:tblCellSpacing w:w="15" w:type="dxa"/>
        </w:trPr>
        <w:tc>
          <w:tcPr>
            <w:tcW w:w="0" w:type="auto"/>
            <w:tcMar>
              <w:top w:w="15" w:type="dxa"/>
              <w:left w:w="15" w:type="dxa"/>
              <w:bottom w:w="15" w:type="dxa"/>
              <w:right w:w="15" w:type="dxa"/>
            </w:tcMar>
            <w:vAlign w:val="center"/>
            <w:hideMark/>
          </w:tcPr>
          <w:p w:rsidR="004A2428" w:rsidRPr="004A2428" w:rsidRDefault="004A2428" w:rsidP="004A2428">
            <w:pPr>
              <w:rPr>
                <w:sz w:val="18"/>
                <w:szCs w:val="18"/>
              </w:rPr>
            </w:pPr>
            <w:r w:rsidRPr="004A2428">
              <w:rPr>
                <w:sz w:val="18"/>
                <w:szCs w:val="18"/>
              </w:rPr>
              <w:t>WINTER-</w:t>
            </w:r>
            <w:r w:rsidRPr="004A2428">
              <w:rPr>
                <w:sz w:val="18"/>
                <w:szCs w:val="18"/>
              </w:rPr>
              <w:t>2</w:t>
            </w:r>
          </w:p>
        </w:tc>
        <w:tc>
          <w:tcPr>
            <w:tcW w:w="0" w:type="auto"/>
            <w:tcMar>
              <w:top w:w="15" w:type="dxa"/>
              <w:left w:w="15" w:type="dxa"/>
              <w:bottom w:w="15" w:type="dxa"/>
              <w:right w:w="15" w:type="dxa"/>
            </w:tcMar>
            <w:vAlign w:val="center"/>
            <w:hideMark/>
          </w:tcPr>
          <w:p w:rsidR="004A2428" w:rsidRPr="004A2428" w:rsidRDefault="004A2428" w:rsidP="004A2428">
            <w:pPr>
              <w:rPr>
                <w:sz w:val="18"/>
                <w:szCs w:val="18"/>
              </w:rPr>
            </w:pPr>
            <w:r w:rsidRPr="004A2428">
              <w:rPr>
                <w:sz w:val="18"/>
                <w:szCs w:val="18"/>
              </w:rPr>
              <w:t>12/1</w:t>
            </w:r>
            <w:r w:rsidRPr="004A2428">
              <w:rPr>
                <w:sz w:val="18"/>
                <w:szCs w:val="18"/>
              </w:rPr>
              <w:t>6</w:t>
            </w:r>
            <w:r w:rsidRPr="004A2428">
              <w:rPr>
                <w:sz w:val="18"/>
                <w:szCs w:val="18"/>
              </w:rPr>
              <w:t>/2012</w:t>
            </w:r>
          </w:p>
        </w:tc>
        <w:tc>
          <w:tcPr>
            <w:tcW w:w="0" w:type="auto"/>
            <w:tcMar>
              <w:top w:w="15" w:type="dxa"/>
              <w:left w:w="15" w:type="dxa"/>
              <w:bottom w:w="15" w:type="dxa"/>
              <w:right w:w="15" w:type="dxa"/>
            </w:tcMar>
            <w:vAlign w:val="center"/>
            <w:hideMark/>
          </w:tcPr>
          <w:p w:rsidR="004A2428" w:rsidRPr="004A2428" w:rsidRDefault="004A2428" w:rsidP="004A2428">
            <w:pPr>
              <w:rPr>
                <w:sz w:val="18"/>
                <w:szCs w:val="18"/>
              </w:rPr>
            </w:pPr>
            <w:r w:rsidRPr="004A2428">
              <w:rPr>
                <w:sz w:val="18"/>
                <w:szCs w:val="18"/>
              </w:rPr>
              <w:t>12/</w:t>
            </w:r>
            <w:r w:rsidRPr="004A2428">
              <w:rPr>
                <w:sz w:val="18"/>
                <w:szCs w:val="18"/>
              </w:rPr>
              <w:t>31</w:t>
            </w:r>
            <w:r w:rsidRPr="004A2428">
              <w:rPr>
                <w:sz w:val="18"/>
                <w:szCs w:val="18"/>
              </w:rPr>
              <w:t>/2012</w:t>
            </w:r>
          </w:p>
        </w:tc>
        <w:tc>
          <w:tcPr>
            <w:tcW w:w="0" w:type="auto"/>
            <w:tcMar>
              <w:top w:w="15" w:type="dxa"/>
              <w:left w:w="15" w:type="dxa"/>
              <w:bottom w:w="15" w:type="dxa"/>
              <w:right w:w="15" w:type="dxa"/>
            </w:tcMar>
            <w:vAlign w:val="center"/>
            <w:hideMark/>
          </w:tcPr>
          <w:p w:rsidR="004A2428" w:rsidRPr="004A2428" w:rsidRDefault="004A2428" w:rsidP="001A1A67">
            <w:pPr>
              <w:rPr>
                <w:sz w:val="18"/>
                <w:szCs w:val="18"/>
              </w:rPr>
            </w:pPr>
            <w:r w:rsidRPr="004A2428">
              <w:rPr>
                <w:sz w:val="18"/>
                <w:szCs w:val="18"/>
              </w:rPr>
              <w:t>0</w:t>
            </w:r>
          </w:p>
        </w:tc>
        <w:tc>
          <w:tcPr>
            <w:tcW w:w="0" w:type="auto"/>
            <w:tcMar>
              <w:top w:w="15" w:type="dxa"/>
              <w:left w:w="15" w:type="dxa"/>
              <w:bottom w:w="15" w:type="dxa"/>
              <w:right w:w="15" w:type="dxa"/>
            </w:tcMar>
            <w:vAlign w:val="center"/>
            <w:hideMark/>
          </w:tcPr>
          <w:p w:rsidR="004A2428" w:rsidRPr="004A2428" w:rsidRDefault="004A2428" w:rsidP="001A1A67">
            <w:pPr>
              <w:rPr>
                <w:sz w:val="18"/>
                <w:szCs w:val="18"/>
              </w:rPr>
            </w:pPr>
            <w:r w:rsidRPr="004A2428">
              <w:rPr>
                <w:sz w:val="18"/>
                <w:szCs w:val="18"/>
              </w:rPr>
              <w:t>0</w:t>
            </w:r>
          </w:p>
        </w:tc>
        <w:tc>
          <w:tcPr>
            <w:tcW w:w="0" w:type="auto"/>
            <w:tcMar>
              <w:top w:w="15" w:type="dxa"/>
              <w:left w:w="15" w:type="dxa"/>
              <w:bottom w:w="15" w:type="dxa"/>
              <w:right w:w="15" w:type="dxa"/>
            </w:tcMar>
            <w:vAlign w:val="center"/>
            <w:hideMark/>
          </w:tcPr>
          <w:p w:rsidR="004A2428" w:rsidRPr="004A2428" w:rsidRDefault="004A2428" w:rsidP="001A1A67">
            <w:pPr>
              <w:rPr>
                <w:sz w:val="18"/>
                <w:szCs w:val="18"/>
              </w:rPr>
            </w:pPr>
            <w:r w:rsidRPr="004A2428">
              <w:rPr>
                <w:sz w:val="18"/>
                <w:szCs w:val="18"/>
              </w:rPr>
              <w:t>85</w:t>
            </w:r>
            <w:r w:rsidRPr="004A2428">
              <w:rPr>
                <w:sz w:val="18"/>
                <w:szCs w:val="18"/>
              </w:rPr>
              <w:t>0</w:t>
            </w:r>
          </w:p>
        </w:tc>
        <w:tc>
          <w:tcPr>
            <w:tcW w:w="0" w:type="auto"/>
            <w:tcMar>
              <w:top w:w="15" w:type="dxa"/>
              <w:left w:w="15" w:type="dxa"/>
              <w:bottom w:w="15" w:type="dxa"/>
              <w:right w:w="15" w:type="dxa"/>
            </w:tcMar>
            <w:vAlign w:val="center"/>
            <w:hideMark/>
          </w:tcPr>
          <w:p w:rsidR="004A2428" w:rsidRPr="004A2428" w:rsidRDefault="004A2428" w:rsidP="001A1A67">
            <w:pPr>
              <w:rPr>
                <w:sz w:val="18"/>
                <w:szCs w:val="18"/>
              </w:rPr>
            </w:pPr>
            <w:r w:rsidRPr="004A2428">
              <w:rPr>
                <w:sz w:val="18"/>
                <w:szCs w:val="18"/>
              </w:rPr>
              <w:t>2,450</w:t>
            </w:r>
          </w:p>
        </w:tc>
        <w:tc>
          <w:tcPr>
            <w:tcW w:w="1333" w:type="dxa"/>
            <w:tcMar>
              <w:top w:w="15" w:type="dxa"/>
              <w:left w:w="15" w:type="dxa"/>
              <w:bottom w:w="15" w:type="dxa"/>
              <w:right w:w="15" w:type="dxa"/>
            </w:tcMar>
            <w:vAlign w:val="center"/>
            <w:hideMark/>
          </w:tcPr>
          <w:p w:rsidR="004A2428" w:rsidRPr="004A2428" w:rsidRDefault="004A2428" w:rsidP="001A1A67">
            <w:pPr>
              <w:rPr>
                <w:sz w:val="18"/>
                <w:szCs w:val="18"/>
              </w:rPr>
            </w:pPr>
            <w:r w:rsidRPr="004A2428">
              <w:rPr>
                <w:sz w:val="18"/>
                <w:szCs w:val="18"/>
              </w:rPr>
              <w:t>14 Nights</w:t>
            </w:r>
          </w:p>
        </w:tc>
      </w:tr>
      <w:tr w:rsidR="004A2428" w:rsidRPr="00A1397B" w:rsidTr="004A2428">
        <w:trPr>
          <w:gridAfter w:val="1"/>
          <w:wAfter w:w="915" w:type="dxa"/>
          <w:tblCellSpacing w:w="15" w:type="dxa"/>
        </w:trPr>
        <w:tc>
          <w:tcPr>
            <w:tcW w:w="0" w:type="auto"/>
            <w:tcMar>
              <w:top w:w="15" w:type="dxa"/>
              <w:left w:w="15" w:type="dxa"/>
              <w:bottom w:w="15" w:type="dxa"/>
              <w:right w:w="15" w:type="dxa"/>
            </w:tcMar>
            <w:vAlign w:val="center"/>
            <w:hideMark/>
          </w:tcPr>
          <w:p w:rsidR="004A2428" w:rsidRPr="004A2428" w:rsidRDefault="004A2428" w:rsidP="001A1A67">
            <w:pPr>
              <w:rPr>
                <w:sz w:val="18"/>
                <w:szCs w:val="18"/>
              </w:rPr>
            </w:pPr>
            <w:r w:rsidRPr="004A2428">
              <w:rPr>
                <w:sz w:val="18"/>
                <w:szCs w:val="18"/>
              </w:rPr>
              <w:t>HIGH SEASON</w:t>
            </w:r>
          </w:p>
        </w:tc>
        <w:tc>
          <w:tcPr>
            <w:tcW w:w="0" w:type="auto"/>
            <w:tcMar>
              <w:top w:w="15" w:type="dxa"/>
              <w:left w:w="15" w:type="dxa"/>
              <w:bottom w:w="15" w:type="dxa"/>
              <w:right w:w="15" w:type="dxa"/>
            </w:tcMar>
            <w:vAlign w:val="center"/>
            <w:hideMark/>
          </w:tcPr>
          <w:p w:rsidR="004A2428" w:rsidRPr="004A2428" w:rsidRDefault="004A2428" w:rsidP="004A2428">
            <w:pPr>
              <w:rPr>
                <w:sz w:val="18"/>
                <w:szCs w:val="18"/>
              </w:rPr>
            </w:pPr>
            <w:r w:rsidRPr="004A2428">
              <w:rPr>
                <w:sz w:val="18"/>
                <w:szCs w:val="18"/>
              </w:rPr>
              <w:t>01</w:t>
            </w:r>
            <w:r w:rsidRPr="004A2428">
              <w:rPr>
                <w:sz w:val="18"/>
                <w:szCs w:val="18"/>
              </w:rPr>
              <w:t>/</w:t>
            </w:r>
            <w:r w:rsidRPr="004A2428">
              <w:rPr>
                <w:sz w:val="18"/>
                <w:szCs w:val="18"/>
              </w:rPr>
              <w:t>01</w:t>
            </w:r>
            <w:r w:rsidRPr="004A2428">
              <w:rPr>
                <w:sz w:val="18"/>
                <w:szCs w:val="18"/>
              </w:rPr>
              <w:t>/201</w:t>
            </w:r>
            <w:r w:rsidRPr="004A2428">
              <w:rPr>
                <w:sz w:val="18"/>
                <w:szCs w:val="18"/>
              </w:rPr>
              <w:t>3</w:t>
            </w:r>
          </w:p>
        </w:tc>
        <w:tc>
          <w:tcPr>
            <w:tcW w:w="0" w:type="auto"/>
            <w:tcMar>
              <w:top w:w="15" w:type="dxa"/>
              <w:left w:w="15" w:type="dxa"/>
              <w:bottom w:w="15" w:type="dxa"/>
              <w:right w:w="15" w:type="dxa"/>
            </w:tcMar>
            <w:vAlign w:val="center"/>
            <w:hideMark/>
          </w:tcPr>
          <w:p w:rsidR="004A2428" w:rsidRPr="004A2428" w:rsidRDefault="004A2428" w:rsidP="004A2428">
            <w:pPr>
              <w:rPr>
                <w:sz w:val="18"/>
                <w:szCs w:val="18"/>
              </w:rPr>
            </w:pPr>
            <w:r w:rsidRPr="004A2428">
              <w:rPr>
                <w:sz w:val="18"/>
                <w:szCs w:val="18"/>
              </w:rPr>
              <w:t>03</w:t>
            </w:r>
            <w:r w:rsidRPr="004A2428">
              <w:rPr>
                <w:sz w:val="18"/>
                <w:szCs w:val="18"/>
              </w:rPr>
              <w:t>/31/201</w:t>
            </w:r>
            <w:r w:rsidRPr="004A2428">
              <w:rPr>
                <w:sz w:val="18"/>
                <w:szCs w:val="18"/>
              </w:rPr>
              <w:t>3</w:t>
            </w:r>
          </w:p>
        </w:tc>
        <w:tc>
          <w:tcPr>
            <w:tcW w:w="0" w:type="auto"/>
            <w:tcMar>
              <w:top w:w="15" w:type="dxa"/>
              <w:left w:w="15" w:type="dxa"/>
              <w:bottom w:w="15" w:type="dxa"/>
              <w:right w:w="15" w:type="dxa"/>
            </w:tcMar>
            <w:vAlign w:val="center"/>
            <w:hideMark/>
          </w:tcPr>
          <w:p w:rsidR="004A2428" w:rsidRPr="004A2428" w:rsidRDefault="004A2428" w:rsidP="001A1A67">
            <w:pPr>
              <w:rPr>
                <w:sz w:val="18"/>
                <w:szCs w:val="18"/>
              </w:rPr>
            </w:pPr>
            <w:r w:rsidRPr="004A2428">
              <w:rPr>
                <w:sz w:val="18"/>
                <w:szCs w:val="18"/>
              </w:rPr>
              <w:t>0</w:t>
            </w:r>
          </w:p>
        </w:tc>
        <w:tc>
          <w:tcPr>
            <w:tcW w:w="0" w:type="auto"/>
            <w:tcMar>
              <w:top w:w="15" w:type="dxa"/>
              <w:left w:w="15" w:type="dxa"/>
              <w:bottom w:w="15" w:type="dxa"/>
              <w:right w:w="15" w:type="dxa"/>
            </w:tcMar>
            <w:vAlign w:val="center"/>
            <w:hideMark/>
          </w:tcPr>
          <w:p w:rsidR="004A2428" w:rsidRPr="004A2428" w:rsidRDefault="004A2428" w:rsidP="001A1A67">
            <w:pPr>
              <w:rPr>
                <w:sz w:val="18"/>
                <w:szCs w:val="18"/>
              </w:rPr>
            </w:pPr>
            <w:r w:rsidRPr="004A2428">
              <w:rPr>
                <w:sz w:val="18"/>
                <w:szCs w:val="18"/>
              </w:rPr>
              <w:t>0</w:t>
            </w:r>
          </w:p>
        </w:tc>
        <w:tc>
          <w:tcPr>
            <w:tcW w:w="0" w:type="auto"/>
            <w:tcMar>
              <w:top w:w="15" w:type="dxa"/>
              <w:left w:w="15" w:type="dxa"/>
              <w:bottom w:w="15" w:type="dxa"/>
              <w:right w:w="15" w:type="dxa"/>
            </w:tcMar>
            <w:vAlign w:val="center"/>
            <w:hideMark/>
          </w:tcPr>
          <w:p w:rsidR="004A2428" w:rsidRPr="004A2428" w:rsidRDefault="004A2428" w:rsidP="001A1A67">
            <w:pPr>
              <w:rPr>
                <w:sz w:val="18"/>
                <w:szCs w:val="18"/>
              </w:rPr>
            </w:pPr>
          </w:p>
        </w:tc>
        <w:tc>
          <w:tcPr>
            <w:tcW w:w="0" w:type="auto"/>
            <w:tcMar>
              <w:top w:w="15" w:type="dxa"/>
              <w:left w:w="15" w:type="dxa"/>
              <w:bottom w:w="15" w:type="dxa"/>
              <w:right w:w="15" w:type="dxa"/>
            </w:tcMar>
            <w:vAlign w:val="center"/>
            <w:hideMark/>
          </w:tcPr>
          <w:p w:rsidR="004A2428" w:rsidRPr="004A2428" w:rsidRDefault="004A2428" w:rsidP="004A2428">
            <w:pPr>
              <w:rPr>
                <w:sz w:val="18"/>
                <w:szCs w:val="18"/>
              </w:rPr>
            </w:pPr>
            <w:r w:rsidRPr="004A2428">
              <w:rPr>
                <w:sz w:val="18"/>
                <w:szCs w:val="18"/>
              </w:rPr>
              <w:t>2,</w:t>
            </w:r>
            <w:r w:rsidRPr="004A2428">
              <w:rPr>
                <w:sz w:val="18"/>
                <w:szCs w:val="18"/>
              </w:rPr>
              <w:t>70</w:t>
            </w:r>
            <w:r w:rsidRPr="004A2428">
              <w:rPr>
                <w:sz w:val="18"/>
                <w:szCs w:val="18"/>
              </w:rPr>
              <w:t>0</w:t>
            </w:r>
          </w:p>
        </w:tc>
        <w:tc>
          <w:tcPr>
            <w:tcW w:w="1333" w:type="dxa"/>
            <w:tcMar>
              <w:top w:w="15" w:type="dxa"/>
              <w:left w:w="15" w:type="dxa"/>
              <w:bottom w:w="15" w:type="dxa"/>
              <w:right w:w="15" w:type="dxa"/>
            </w:tcMar>
            <w:vAlign w:val="center"/>
            <w:hideMark/>
          </w:tcPr>
          <w:p w:rsidR="004A2428" w:rsidRPr="004A2428" w:rsidRDefault="004A2428" w:rsidP="001A1A67">
            <w:pPr>
              <w:rPr>
                <w:sz w:val="18"/>
                <w:szCs w:val="18"/>
              </w:rPr>
            </w:pPr>
            <w:r w:rsidRPr="004A2428">
              <w:rPr>
                <w:sz w:val="18"/>
                <w:szCs w:val="18"/>
              </w:rPr>
              <w:t>MONTH</w:t>
            </w:r>
          </w:p>
        </w:tc>
      </w:tr>
    </w:tbl>
    <w:p w:rsidR="00F82F2C" w:rsidRDefault="00F82F2C" w:rsidP="00F82F2C">
      <w:pPr>
        <w:pStyle w:val="Heading3"/>
      </w:pPr>
      <w:r>
        <w:t xml:space="preserve">Add Taxes, Adjustments and Fees </w:t>
      </w:r>
      <w:r>
        <w:rPr>
          <w:b w:val="0"/>
          <w:bCs w:val="0"/>
        </w:rPr>
        <w:t>(optional)</w:t>
      </w:r>
    </w:p>
    <w:tbl>
      <w:tblPr>
        <w:tblW w:w="0" w:type="auto"/>
        <w:tblCellSpacing w:w="15" w:type="dxa"/>
        <w:tblLook w:val="04A0" w:firstRow="1" w:lastRow="0" w:firstColumn="1" w:lastColumn="0" w:noHBand="0" w:noVBand="1"/>
      </w:tblPr>
      <w:tblGrid>
        <w:gridCol w:w="1943"/>
        <w:gridCol w:w="2119"/>
        <w:gridCol w:w="2802"/>
        <w:gridCol w:w="649"/>
        <w:gridCol w:w="802"/>
        <w:gridCol w:w="1054"/>
        <w:gridCol w:w="81"/>
      </w:tblGrid>
      <w:tr w:rsidR="00F82F2C" w:rsidTr="00C15933">
        <w:trPr>
          <w:tblHeader/>
          <w:tblCellSpacing w:w="15" w:type="dxa"/>
        </w:trPr>
        <w:tc>
          <w:tcPr>
            <w:tcW w:w="1897" w:type="dxa"/>
            <w:tcMar>
              <w:top w:w="15" w:type="dxa"/>
              <w:left w:w="15" w:type="dxa"/>
              <w:bottom w:w="15" w:type="dxa"/>
              <w:right w:w="15" w:type="dxa"/>
            </w:tcMar>
            <w:vAlign w:val="center"/>
            <w:hideMark/>
          </w:tcPr>
          <w:p w:rsidR="00F82F2C" w:rsidRDefault="00F82F2C">
            <w:pPr>
              <w:jc w:val="center"/>
              <w:rPr>
                <w:b/>
                <w:bCs/>
                <w:sz w:val="24"/>
                <w:szCs w:val="24"/>
              </w:rPr>
            </w:pPr>
            <w:r>
              <w:rPr>
                <w:b/>
                <w:bCs/>
              </w:rPr>
              <w:t>Type</w:t>
            </w:r>
          </w:p>
        </w:tc>
        <w:tc>
          <w:tcPr>
            <w:tcW w:w="2089" w:type="dxa"/>
            <w:tcMar>
              <w:top w:w="15" w:type="dxa"/>
              <w:left w:w="15" w:type="dxa"/>
              <w:bottom w:w="15" w:type="dxa"/>
              <w:right w:w="15" w:type="dxa"/>
            </w:tcMar>
            <w:vAlign w:val="center"/>
            <w:hideMark/>
          </w:tcPr>
          <w:p w:rsidR="00F82F2C" w:rsidRDefault="00F82F2C">
            <w:pPr>
              <w:jc w:val="center"/>
              <w:rPr>
                <w:b/>
                <w:bCs/>
                <w:sz w:val="24"/>
                <w:szCs w:val="24"/>
              </w:rPr>
            </w:pPr>
            <w:r>
              <w:rPr>
                <w:b/>
                <w:bCs/>
              </w:rPr>
              <w:t>Fee Name</w:t>
            </w:r>
          </w:p>
        </w:tc>
        <w:tc>
          <w:tcPr>
            <w:tcW w:w="0" w:type="auto"/>
            <w:tcMar>
              <w:top w:w="15" w:type="dxa"/>
              <w:left w:w="15" w:type="dxa"/>
              <w:bottom w:w="15" w:type="dxa"/>
              <w:right w:w="15" w:type="dxa"/>
            </w:tcMar>
            <w:vAlign w:val="center"/>
            <w:hideMark/>
          </w:tcPr>
          <w:p w:rsidR="00F82F2C" w:rsidRDefault="00F82F2C">
            <w:pPr>
              <w:jc w:val="center"/>
              <w:rPr>
                <w:b/>
                <w:bCs/>
                <w:sz w:val="24"/>
                <w:szCs w:val="24"/>
              </w:rPr>
            </w:pPr>
            <w:r>
              <w:rPr>
                <w:b/>
                <w:bCs/>
              </w:rPr>
              <w:t>Description</w:t>
            </w:r>
          </w:p>
        </w:tc>
        <w:tc>
          <w:tcPr>
            <w:tcW w:w="0" w:type="auto"/>
            <w:tcMar>
              <w:top w:w="15" w:type="dxa"/>
              <w:left w:w="15" w:type="dxa"/>
              <w:bottom w:w="15" w:type="dxa"/>
              <w:right w:w="15" w:type="dxa"/>
            </w:tcMar>
            <w:vAlign w:val="center"/>
            <w:hideMark/>
          </w:tcPr>
          <w:p w:rsidR="00F82F2C" w:rsidRDefault="00F82F2C">
            <w:pPr>
              <w:jc w:val="center"/>
              <w:rPr>
                <w:b/>
                <w:bCs/>
                <w:sz w:val="24"/>
                <w:szCs w:val="24"/>
              </w:rPr>
            </w:pPr>
            <w:r>
              <w:rPr>
                <w:b/>
                <w:bCs/>
              </w:rPr>
              <w:t>Fee Basis</w:t>
            </w:r>
          </w:p>
        </w:tc>
        <w:tc>
          <w:tcPr>
            <w:tcW w:w="0" w:type="auto"/>
            <w:tcMar>
              <w:top w:w="15" w:type="dxa"/>
              <w:left w:w="15" w:type="dxa"/>
              <w:bottom w:w="15" w:type="dxa"/>
              <w:right w:w="15" w:type="dxa"/>
            </w:tcMar>
            <w:vAlign w:val="center"/>
            <w:hideMark/>
          </w:tcPr>
          <w:p w:rsidR="00F82F2C" w:rsidRDefault="00F82F2C">
            <w:pPr>
              <w:jc w:val="center"/>
              <w:rPr>
                <w:b/>
                <w:bCs/>
                <w:sz w:val="24"/>
                <w:szCs w:val="24"/>
              </w:rPr>
            </w:pPr>
            <w:r>
              <w:rPr>
                <w:b/>
                <w:bCs/>
              </w:rPr>
              <w:t>Cost</w:t>
            </w:r>
          </w:p>
        </w:tc>
        <w:tc>
          <w:tcPr>
            <w:tcW w:w="0" w:type="auto"/>
            <w:tcMar>
              <w:top w:w="15" w:type="dxa"/>
              <w:left w:w="15" w:type="dxa"/>
              <w:bottom w:w="15" w:type="dxa"/>
              <w:right w:w="15" w:type="dxa"/>
            </w:tcMar>
            <w:vAlign w:val="center"/>
            <w:hideMark/>
          </w:tcPr>
          <w:p w:rsidR="00F82F2C" w:rsidRDefault="00F82F2C">
            <w:pPr>
              <w:jc w:val="center"/>
              <w:rPr>
                <w:b/>
                <w:bCs/>
                <w:sz w:val="24"/>
                <w:szCs w:val="24"/>
              </w:rPr>
            </w:pPr>
            <w:r>
              <w:rPr>
                <w:b/>
                <w:bCs/>
              </w:rPr>
              <w:t>Required Fee?</w:t>
            </w:r>
          </w:p>
        </w:tc>
        <w:tc>
          <w:tcPr>
            <w:tcW w:w="0" w:type="auto"/>
            <w:tcMar>
              <w:top w:w="15" w:type="dxa"/>
              <w:left w:w="15" w:type="dxa"/>
              <w:bottom w:w="15" w:type="dxa"/>
              <w:right w:w="15" w:type="dxa"/>
            </w:tcMar>
            <w:vAlign w:val="center"/>
            <w:hideMark/>
          </w:tcPr>
          <w:p w:rsidR="00F82F2C" w:rsidRDefault="00F82F2C">
            <w:pPr>
              <w:spacing w:after="0"/>
            </w:pPr>
          </w:p>
        </w:tc>
      </w:tr>
      <w:tr w:rsidR="00F82F2C" w:rsidTr="00C15933">
        <w:trPr>
          <w:tblCellSpacing w:w="15" w:type="dxa"/>
        </w:trPr>
        <w:tc>
          <w:tcPr>
            <w:tcW w:w="1897" w:type="dxa"/>
            <w:tcMar>
              <w:top w:w="15" w:type="dxa"/>
              <w:left w:w="15" w:type="dxa"/>
              <w:bottom w:w="15" w:type="dxa"/>
              <w:right w:w="15" w:type="dxa"/>
            </w:tcMar>
            <w:vAlign w:val="center"/>
            <w:hideMark/>
          </w:tcPr>
          <w:p w:rsidR="00F82F2C" w:rsidRDefault="00C15933">
            <w:pPr>
              <w:rPr>
                <w:sz w:val="24"/>
                <w:szCs w:val="24"/>
              </w:rPr>
            </w:pPr>
            <w:r>
              <w:t>Reservation/</w:t>
            </w:r>
            <w:r w:rsidR="00F82F2C">
              <w:t>Security Deposit</w:t>
            </w:r>
          </w:p>
        </w:tc>
        <w:tc>
          <w:tcPr>
            <w:tcW w:w="2089" w:type="dxa"/>
            <w:tcMar>
              <w:top w:w="15" w:type="dxa"/>
              <w:left w:w="15" w:type="dxa"/>
              <w:bottom w:w="15" w:type="dxa"/>
              <w:right w:w="15" w:type="dxa"/>
            </w:tcMar>
            <w:vAlign w:val="center"/>
            <w:hideMark/>
          </w:tcPr>
          <w:p w:rsidR="00F82F2C" w:rsidRDefault="00C15933" w:rsidP="00C15933">
            <w:pPr>
              <w:rPr>
                <w:sz w:val="24"/>
                <w:szCs w:val="24"/>
              </w:rPr>
            </w:pPr>
            <w:r>
              <w:t xml:space="preserve"> Refundable  Deposit </w:t>
            </w:r>
          </w:p>
        </w:tc>
        <w:tc>
          <w:tcPr>
            <w:tcW w:w="0" w:type="auto"/>
            <w:tcMar>
              <w:top w:w="15" w:type="dxa"/>
              <w:left w:w="15" w:type="dxa"/>
              <w:bottom w:w="15" w:type="dxa"/>
              <w:right w:w="15" w:type="dxa"/>
            </w:tcMar>
            <w:vAlign w:val="center"/>
            <w:hideMark/>
          </w:tcPr>
          <w:p w:rsidR="00F82F2C" w:rsidRDefault="00F82F2C">
            <w:pPr>
              <w:rPr>
                <w:sz w:val="24"/>
                <w:szCs w:val="24"/>
              </w:rPr>
            </w:pPr>
            <w:r>
              <w:t>Refundable upon satisfactory inspection of the unit after check-out</w:t>
            </w:r>
          </w:p>
        </w:tc>
        <w:tc>
          <w:tcPr>
            <w:tcW w:w="0" w:type="auto"/>
            <w:tcMar>
              <w:top w:w="15" w:type="dxa"/>
              <w:left w:w="15" w:type="dxa"/>
              <w:bottom w:w="15" w:type="dxa"/>
              <w:right w:w="15" w:type="dxa"/>
            </w:tcMar>
            <w:vAlign w:val="center"/>
            <w:hideMark/>
          </w:tcPr>
          <w:p w:rsidR="00F82F2C" w:rsidRDefault="00F82F2C">
            <w:pPr>
              <w:rPr>
                <w:sz w:val="24"/>
                <w:szCs w:val="24"/>
              </w:rPr>
            </w:pPr>
            <w:r>
              <w:t>Flat Rate</w:t>
            </w:r>
          </w:p>
        </w:tc>
        <w:tc>
          <w:tcPr>
            <w:tcW w:w="0" w:type="auto"/>
            <w:tcMar>
              <w:top w:w="15" w:type="dxa"/>
              <w:left w:w="15" w:type="dxa"/>
              <w:bottom w:w="15" w:type="dxa"/>
              <w:right w:w="15" w:type="dxa"/>
            </w:tcMar>
            <w:vAlign w:val="center"/>
            <w:hideMark/>
          </w:tcPr>
          <w:p w:rsidR="00F82F2C" w:rsidRDefault="004A2428">
            <w:pPr>
              <w:rPr>
                <w:sz w:val="24"/>
                <w:szCs w:val="24"/>
              </w:rPr>
            </w:pPr>
            <w:r>
              <w:t>5</w:t>
            </w:r>
            <w:r w:rsidR="00F82F2C">
              <w:t>00</w:t>
            </w:r>
            <w:r w:rsidR="00C15933">
              <w:t>*</w:t>
            </w:r>
            <w:r w:rsidR="00F82F2C">
              <w:t xml:space="preserve"> / stay</w:t>
            </w:r>
          </w:p>
        </w:tc>
        <w:tc>
          <w:tcPr>
            <w:tcW w:w="0" w:type="auto"/>
            <w:tcMar>
              <w:top w:w="15" w:type="dxa"/>
              <w:left w:w="15" w:type="dxa"/>
              <w:bottom w:w="15" w:type="dxa"/>
              <w:right w:w="15" w:type="dxa"/>
            </w:tcMar>
            <w:vAlign w:val="center"/>
            <w:hideMark/>
          </w:tcPr>
          <w:p w:rsidR="00F82F2C" w:rsidRDefault="00F82F2C">
            <w:pPr>
              <w:rPr>
                <w:sz w:val="24"/>
                <w:szCs w:val="24"/>
              </w:rPr>
            </w:pPr>
            <w:r>
              <w:t>Yes</w:t>
            </w:r>
          </w:p>
        </w:tc>
        <w:tc>
          <w:tcPr>
            <w:tcW w:w="0" w:type="auto"/>
            <w:tcMar>
              <w:top w:w="15" w:type="dxa"/>
              <w:left w:w="15" w:type="dxa"/>
              <w:bottom w:w="15" w:type="dxa"/>
              <w:right w:w="15" w:type="dxa"/>
            </w:tcMar>
            <w:vAlign w:val="center"/>
            <w:hideMark/>
          </w:tcPr>
          <w:p w:rsidR="00F82F2C" w:rsidRDefault="00F82F2C">
            <w:pPr>
              <w:spacing w:after="0"/>
            </w:pPr>
          </w:p>
        </w:tc>
      </w:tr>
      <w:tr w:rsidR="00F82F2C" w:rsidTr="00C15933">
        <w:trPr>
          <w:tblCellSpacing w:w="15" w:type="dxa"/>
        </w:trPr>
        <w:tc>
          <w:tcPr>
            <w:tcW w:w="1897" w:type="dxa"/>
            <w:tcMar>
              <w:top w:w="15" w:type="dxa"/>
              <w:left w:w="15" w:type="dxa"/>
              <w:bottom w:w="15" w:type="dxa"/>
              <w:right w:w="15" w:type="dxa"/>
            </w:tcMar>
            <w:vAlign w:val="center"/>
            <w:hideMark/>
          </w:tcPr>
          <w:p w:rsidR="00F82F2C" w:rsidRDefault="00F82F2C">
            <w:pPr>
              <w:rPr>
                <w:sz w:val="24"/>
                <w:szCs w:val="24"/>
              </w:rPr>
            </w:pPr>
            <w:r>
              <w:lastRenderedPageBreak/>
              <w:t>Fee</w:t>
            </w:r>
          </w:p>
        </w:tc>
        <w:tc>
          <w:tcPr>
            <w:tcW w:w="2089" w:type="dxa"/>
            <w:tcMar>
              <w:top w:w="15" w:type="dxa"/>
              <w:left w:w="15" w:type="dxa"/>
              <w:bottom w:w="15" w:type="dxa"/>
              <w:right w:w="15" w:type="dxa"/>
            </w:tcMar>
            <w:vAlign w:val="center"/>
            <w:hideMark/>
          </w:tcPr>
          <w:p w:rsidR="00F82F2C" w:rsidRDefault="00F82F2C">
            <w:pPr>
              <w:rPr>
                <w:sz w:val="24"/>
                <w:szCs w:val="24"/>
              </w:rPr>
            </w:pPr>
            <w:r>
              <w:t>CLEANING FEE - one time for departure cleaning</w:t>
            </w:r>
          </w:p>
        </w:tc>
        <w:tc>
          <w:tcPr>
            <w:tcW w:w="0" w:type="auto"/>
            <w:tcMar>
              <w:top w:w="15" w:type="dxa"/>
              <w:left w:w="15" w:type="dxa"/>
              <w:bottom w:w="15" w:type="dxa"/>
              <w:right w:w="15" w:type="dxa"/>
            </w:tcMar>
            <w:vAlign w:val="center"/>
            <w:hideMark/>
          </w:tcPr>
          <w:p w:rsidR="00F82F2C" w:rsidRDefault="00F82F2C">
            <w:pPr>
              <w:rPr>
                <w:sz w:val="24"/>
                <w:szCs w:val="24"/>
              </w:rPr>
            </w:pPr>
            <w:r>
              <w:t>Not Refundable Service Fee</w:t>
            </w:r>
          </w:p>
        </w:tc>
        <w:tc>
          <w:tcPr>
            <w:tcW w:w="0" w:type="auto"/>
            <w:tcMar>
              <w:top w:w="15" w:type="dxa"/>
              <w:left w:w="15" w:type="dxa"/>
              <w:bottom w:w="15" w:type="dxa"/>
              <w:right w:w="15" w:type="dxa"/>
            </w:tcMar>
            <w:vAlign w:val="center"/>
            <w:hideMark/>
          </w:tcPr>
          <w:p w:rsidR="00F82F2C" w:rsidRDefault="00F82F2C">
            <w:pPr>
              <w:rPr>
                <w:sz w:val="24"/>
                <w:szCs w:val="24"/>
              </w:rPr>
            </w:pPr>
            <w:r>
              <w:t>Flat Rate</w:t>
            </w:r>
          </w:p>
        </w:tc>
        <w:tc>
          <w:tcPr>
            <w:tcW w:w="0" w:type="auto"/>
            <w:tcMar>
              <w:top w:w="15" w:type="dxa"/>
              <w:left w:w="15" w:type="dxa"/>
              <w:bottom w:w="15" w:type="dxa"/>
              <w:right w:w="15" w:type="dxa"/>
            </w:tcMar>
            <w:vAlign w:val="center"/>
            <w:hideMark/>
          </w:tcPr>
          <w:p w:rsidR="00F82F2C" w:rsidRDefault="00F82F2C">
            <w:pPr>
              <w:rPr>
                <w:sz w:val="24"/>
                <w:szCs w:val="24"/>
              </w:rPr>
            </w:pPr>
            <w:r>
              <w:t>110</w:t>
            </w:r>
            <w:r w:rsidR="00C15933">
              <w:t>**</w:t>
            </w:r>
            <w:r>
              <w:t xml:space="preserve"> / stay</w:t>
            </w:r>
          </w:p>
        </w:tc>
        <w:tc>
          <w:tcPr>
            <w:tcW w:w="0" w:type="auto"/>
            <w:tcMar>
              <w:top w:w="15" w:type="dxa"/>
              <w:left w:w="15" w:type="dxa"/>
              <w:bottom w:w="15" w:type="dxa"/>
              <w:right w:w="15" w:type="dxa"/>
            </w:tcMar>
            <w:vAlign w:val="center"/>
            <w:hideMark/>
          </w:tcPr>
          <w:p w:rsidR="00F82F2C" w:rsidRDefault="00F82F2C">
            <w:pPr>
              <w:rPr>
                <w:sz w:val="24"/>
                <w:szCs w:val="24"/>
              </w:rPr>
            </w:pPr>
            <w:r>
              <w:t>Yes</w:t>
            </w:r>
          </w:p>
        </w:tc>
        <w:tc>
          <w:tcPr>
            <w:tcW w:w="0" w:type="auto"/>
            <w:tcMar>
              <w:top w:w="15" w:type="dxa"/>
              <w:left w:w="15" w:type="dxa"/>
              <w:bottom w:w="15" w:type="dxa"/>
              <w:right w:w="15" w:type="dxa"/>
            </w:tcMar>
            <w:vAlign w:val="center"/>
            <w:hideMark/>
          </w:tcPr>
          <w:p w:rsidR="00F82F2C" w:rsidRDefault="00F82F2C">
            <w:pPr>
              <w:spacing w:after="0"/>
            </w:pPr>
          </w:p>
        </w:tc>
      </w:tr>
      <w:tr w:rsidR="00C15933" w:rsidTr="00C15933">
        <w:trPr>
          <w:gridAfter w:val="1"/>
          <w:tblCellSpacing w:w="15" w:type="dxa"/>
        </w:trPr>
        <w:tc>
          <w:tcPr>
            <w:tcW w:w="1897" w:type="dxa"/>
            <w:tcMar>
              <w:top w:w="15" w:type="dxa"/>
              <w:left w:w="15" w:type="dxa"/>
              <w:bottom w:w="15" w:type="dxa"/>
              <w:right w:w="15" w:type="dxa"/>
            </w:tcMar>
            <w:vAlign w:val="center"/>
            <w:hideMark/>
          </w:tcPr>
          <w:p w:rsidR="00C15933" w:rsidRDefault="00C15933" w:rsidP="001A1A67">
            <w:pPr>
              <w:rPr>
                <w:sz w:val="24"/>
                <w:szCs w:val="24"/>
              </w:rPr>
            </w:pPr>
            <w:r>
              <w:t>Fee</w:t>
            </w:r>
          </w:p>
        </w:tc>
        <w:tc>
          <w:tcPr>
            <w:tcW w:w="2089" w:type="dxa"/>
            <w:tcMar>
              <w:top w:w="15" w:type="dxa"/>
              <w:left w:w="15" w:type="dxa"/>
              <w:bottom w:w="15" w:type="dxa"/>
              <w:right w:w="15" w:type="dxa"/>
            </w:tcMar>
            <w:vAlign w:val="center"/>
            <w:hideMark/>
          </w:tcPr>
          <w:p w:rsidR="00C15933" w:rsidRDefault="00C15933" w:rsidP="001A1A67">
            <w:pPr>
              <w:rPr>
                <w:sz w:val="24"/>
                <w:szCs w:val="24"/>
              </w:rPr>
            </w:pPr>
            <w:r>
              <w:rPr>
                <w:sz w:val="24"/>
                <w:szCs w:val="24"/>
              </w:rPr>
              <w:t>HOA Application for rent approval</w:t>
            </w:r>
          </w:p>
        </w:tc>
        <w:tc>
          <w:tcPr>
            <w:tcW w:w="0" w:type="auto"/>
            <w:tcMar>
              <w:top w:w="15" w:type="dxa"/>
              <w:left w:w="15" w:type="dxa"/>
              <w:bottom w:w="15" w:type="dxa"/>
              <w:right w:w="15" w:type="dxa"/>
            </w:tcMar>
            <w:vAlign w:val="center"/>
            <w:hideMark/>
          </w:tcPr>
          <w:p w:rsidR="00C15933" w:rsidRDefault="00C15933" w:rsidP="001A1A67">
            <w:pPr>
              <w:rPr>
                <w:sz w:val="24"/>
                <w:szCs w:val="24"/>
              </w:rPr>
            </w:pPr>
            <w:r>
              <w:t>Not Refundable Service Fee</w:t>
            </w:r>
          </w:p>
        </w:tc>
        <w:tc>
          <w:tcPr>
            <w:tcW w:w="0" w:type="auto"/>
            <w:tcMar>
              <w:top w:w="15" w:type="dxa"/>
              <w:left w:w="15" w:type="dxa"/>
              <w:bottom w:w="15" w:type="dxa"/>
              <w:right w:w="15" w:type="dxa"/>
            </w:tcMar>
            <w:vAlign w:val="center"/>
            <w:hideMark/>
          </w:tcPr>
          <w:p w:rsidR="00C15933" w:rsidRDefault="00C15933" w:rsidP="001A1A67">
            <w:pPr>
              <w:rPr>
                <w:sz w:val="24"/>
                <w:szCs w:val="24"/>
              </w:rPr>
            </w:pPr>
            <w:r>
              <w:t>Flat Rate</w:t>
            </w:r>
          </w:p>
        </w:tc>
        <w:tc>
          <w:tcPr>
            <w:tcW w:w="0" w:type="auto"/>
            <w:tcMar>
              <w:top w:w="15" w:type="dxa"/>
              <w:left w:w="15" w:type="dxa"/>
              <w:bottom w:w="15" w:type="dxa"/>
              <w:right w:w="15" w:type="dxa"/>
            </w:tcMar>
            <w:vAlign w:val="center"/>
            <w:hideMark/>
          </w:tcPr>
          <w:p w:rsidR="00C15933" w:rsidRDefault="00C15933" w:rsidP="00C15933">
            <w:pPr>
              <w:rPr>
                <w:sz w:val="24"/>
                <w:szCs w:val="24"/>
              </w:rPr>
            </w:pPr>
            <w:r>
              <w:t>50</w:t>
            </w:r>
            <w:r>
              <w:t xml:space="preserve"> / stay</w:t>
            </w:r>
          </w:p>
        </w:tc>
        <w:tc>
          <w:tcPr>
            <w:tcW w:w="0" w:type="auto"/>
            <w:tcMar>
              <w:top w:w="15" w:type="dxa"/>
              <w:left w:w="15" w:type="dxa"/>
              <w:bottom w:w="15" w:type="dxa"/>
              <w:right w:w="15" w:type="dxa"/>
            </w:tcMar>
            <w:vAlign w:val="center"/>
            <w:hideMark/>
          </w:tcPr>
          <w:p w:rsidR="00C15933" w:rsidRDefault="00C15933" w:rsidP="001A1A67">
            <w:pPr>
              <w:rPr>
                <w:sz w:val="24"/>
                <w:szCs w:val="24"/>
              </w:rPr>
            </w:pPr>
            <w:r>
              <w:t>Yes</w:t>
            </w:r>
          </w:p>
        </w:tc>
      </w:tr>
    </w:tbl>
    <w:p w:rsidR="00442F41" w:rsidRDefault="00C15933">
      <w:pPr>
        <w:rPr>
          <w:sz w:val="19"/>
          <w:szCs w:val="19"/>
        </w:rPr>
      </w:pPr>
      <w:r>
        <w:t>*</w:t>
      </w:r>
      <w:r>
        <w:rPr>
          <w:rStyle w:val="Strong"/>
        </w:rPr>
        <w:t>RESERVATION DEPOSIT which becomes SECURITY DEPOSIT at check-in time:</w:t>
      </w:r>
      <w:r>
        <w:t xml:space="preserve"> </w:t>
      </w:r>
      <w:r>
        <w:rPr>
          <w:rStyle w:val="val"/>
        </w:rPr>
        <w:t>$500</w:t>
      </w:r>
      <w:r>
        <w:rPr>
          <w:rStyle w:val="Emphasis"/>
        </w:rPr>
        <w:t xml:space="preserve"> - required</w:t>
      </w:r>
      <w:r>
        <w:br w:type="textWrapping" w:clear="all"/>
      </w:r>
      <w:r>
        <w:rPr>
          <w:sz w:val="19"/>
          <w:szCs w:val="19"/>
        </w:rPr>
        <w:t>A $500 RESERVATION DEPOSIT is required at the time of booking to hold your reservation and becomes at the time of check-in a SECURITY DEPOSIT against excessive electric charges, any possible damages or missing items, or if the house has been smoked in, requiring intensive cleaning to remove smoke residue (REFUNDABLE upon satisfactory inspection of the unit after check-out). This SECURITY DEPOSIT will be REFUNDED within 14 days following satisfactory inspection of the unit (INVENTORY COUNT will be performed) after guests' departure if the following provisions are met: - No damage is done to premises or its contents (nothing is broken, stained, or missing from furnishings, appliances, fixtures, household items (linens, towels. pots and pans, dishes, utensils, etc.)- No early check-ins or late departures, unless preapproved by the owner in writing (all check-outs @10 am, late check outs in the same day c</w:t>
      </w:r>
      <w:r>
        <w:rPr>
          <w:sz w:val="19"/>
          <w:szCs w:val="19"/>
        </w:rPr>
        <w:t>ould be charged up to $100/day)</w:t>
      </w:r>
    </w:p>
    <w:p w:rsidR="00C15933" w:rsidRDefault="00C15933">
      <w:r>
        <w:rPr>
          <w:rStyle w:val="Strong"/>
        </w:rPr>
        <w:t>**</w:t>
      </w:r>
      <w:r>
        <w:rPr>
          <w:rStyle w:val="Strong"/>
        </w:rPr>
        <w:t>CLEANING FEE - one time for departure cleaning:</w:t>
      </w:r>
      <w:r>
        <w:t xml:space="preserve"> </w:t>
      </w:r>
      <w:r>
        <w:rPr>
          <w:rStyle w:val="val"/>
        </w:rPr>
        <w:t>$110</w:t>
      </w:r>
      <w:r>
        <w:rPr>
          <w:rStyle w:val="Emphasis"/>
        </w:rPr>
        <w:t xml:space="preserve"> - required</w:t>
      </w:r>
      <w:r>
        <w:br w:type="textWrapping" w:clear="all"/>
      </w:r>
      <w:r>
        <w:rPr>
          <w:sz w:val="19"/>
          <w:szCs w:val="19"/>
        </w:rPr>
        <w:t>Not Refu</w:t>
      </w:r>
      <w:r>
        <w:rPr>
          <w:sz w:val="19"/>
          <w:szCs w:val="19"/>
        </w:rPr>
        <w:t xml:space="preserve">ndable Service Fee.  </w:t>
      </w:r>
      <w:r>
        <w:rPr>
          <w:sz w:val="19"/>
          <w:szCs w:val="19"/>
        </w:rPr>
        <w:t xml:space="preserve">This fee COULD BE REDUCED to $50 - INSPECTION and INVENTORY TAKING FEE IF RENTERS WILL AGREE TO THOROUGHLY CLEAN (on professional level) THE </w:t>
      </w:r>
      <w:r>
        <w:rPr>
          <w:sz w:val="19"/>
          <w:szCs w:val="19"/>
        </w:rPr>
        <w:t>PREMISES</w:t>
      </w:r>
      <w:r>
        <w:rPr>
          <w:sz w:val="19"/>
          <w:szCs w:val="19"/>
        </w:rPr>
        <w:t xml:space="preserve"> THEMSELVES ($50 will only cover the fee for the person to come to check the property condition after it is vacated and to take inventory of the unit). If the unit will be found not thoroughly cleaned, walls, countertops, furniture, FLOORS, carpets - with visible stains or chipped and linens, towels (used), etc. not washed, dried and things are not on their places, or missing or broken, the Security Deposit will be reduced by the additional amount (for the time spent for </w:t>
      </w:r>
      <w:r>
        <w:rPr>
          <w:sz w:val="19"/>
          <w:szCs w:val="19"/>
        </w:rPr>
        <w:t xml:space="preserve">extra </w:t>
      </w:r>
      <w:bookmarkStart w:id="0" w:name="_GoBack"/>
      <w:bookmarkEnd w:id="0"/>
      <w:r>
        <w:rPr>
          <w:sz w:val="19"/>
          <w:szCs w:val="19"/>
        </w:rPr>
        <w:t>washing, cleaning, placing things on its places and replacing/fixing missing or broken items).</w:t>
      </w:r>
    </w:p>
    <w:sectPr w:rsidR="00C15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2C"/>
    <w:rsid w:val="000B130D"/>
    <w:rsid w:val="00193CCF"/>
    <w:rsid w:val="00396245"/>
    <w:rsid w:val="00442F41"/>
    <w:rsid w:val="004A2428"/>
    <w:rsid w:val="00501D63"/>
    <w:rsid w:val="00694E1E"/>
    <w:rsid w:val="007B1DC9"/>
    <w:rsid w:val="00900853"/>
    <w:rsid w:val="00A1397B"/>
    <w:rsid w:val="00B031E8"/>
    <w:rsid w:val="00C15933"/>
    <w:rsid w:val="00F8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2C"/>
  </w:style>
  <w:style w:type="paragraph" w:styleId="Heading3">
    <w:name w:val="heading 3"/>
    <w:basedOn w:val="Normal"/>
    <w:link w:val="Heading3Char"/>
    <w:uiPriority w:val="9"/>
    <w:semiHidden/>
    <w:unhideWhenUsed/>
    <w:qFormat/>
    <w:rsid w:val="00F82F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82F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2F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2F2C"/>
    <w:pPr>
      <w:ind w:left="720"/>
      <w:contextualSpacing/>
    </w:pPr>
  </w:style>
  <w:style w:type="character" w:customStyle="1" w:styleId="subheader">
    <w:name w:val="subheader"/>
    <w:basedOn w:val="DefaultParagraphFont"/>
    <w:rsid w:val="00193CCF"/>
  </w:style>
  <w:style w:type="character" w:styleId="Strong">
    <w:name w:val="Strong"/>
    <w:basedOn w:val="DefaultParagraphFont"/>
    <w:uiPriority w:val="22"/>
    <w:qFormat/>
    <w:rsid w:val="00C15933"/>
    <w:rPr>
      <w:b/>
      <w:bCs/>
    </w:rPr>
  </w:style>
  <w:style w:type="character" w:customStyle="1" w:styleId="val">
    <w:name w:val="val"/>
    <w:basedOn w:val="DefaultParagraphFont"/>
    <w:rsid w:val="00C15933"/>
  </w:style>
  <w:style w:type="character" w:styleId="Emphasis">
    <w:name w:val="Emphasis"/>
    <w:basedOn w:val="DefaultParagraphFont"/>
    <w:uiPriority w:val="20"/>
    <w:qFormat/>
    <w:rsid w:val="00C159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2C"/>
  </w:style>
  <w:style w:type="paragraph" w:styleId="Heading3">
    <w:name w:val="heading 3"/>
    <w:basedOn w:val="Normal"/>
    <w:link w:val="Heading3Char"/>
    <w:uiPriority w:val="9"/>
    <w:semiHidden/>
    <w:unhideWhenUsed/>
    <w:qFormat/>
    <w:rsid w:val="00F82F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82F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2F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2F2C"/>
    <w:pPr>
      <w:ind w:left="720"/>
      <w:contextualSpacing/>
    </w:pPr>
  </w:style>
  <w:style w:type="character" w:customStyle="1" w:styleId="subheader">
    <w:name w:val="subheader"/>
    <w:basedOn w:val="DefaultParagraphFont"/>
    <w:rsid w:val="00193CCF"/>
  </w:style>
  <w:style w:type="character" w:styleId="Strong">
    <w:name w:val="Strong"/>
    <w:basedOn w:val="DefaultParagraphFont"/>
    <w:uiPriority w:val="22"/>
    <w:qFormat/>
    <w:rsid w:val="00C15933"/>
    <w:rPr>
      <w:b/>
      <w:bCs/>
    </w:rPr>
  </w:style>
  <w:style w:type="character" w:customStyle="1" w:styleId="val">
    <w:name w:val="val"/>
    <w:basedOn w:val="DefaultParagraphFont"/>
    <w:rsid w:val="00C15933"/>
  </w:style>
  <w:style w:type="character" w:styleId="Emphasis">
    <w:name w:val="Emphasis"/>
    <w:basedOn w:val="DefaultParagraphFont"/>
    <w:uiPriority w:val="20"/>
    <w:qFormat/>
    <w:rsid w:val="00C159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8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5</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Nilov</dc:creator>
  <cp:lastModifiedBy>Evan Nilov</cp:lastModifiedBy>
  <cp:revision>9</cp:revision>
  <dcterms:created xsi:type="dcterms:W3CDTF">2011-10-06T02:04:00Z</dcterms:created>
  <dcterms:modified xsi:type="dcterms:W3CDTF">2012-03-31T21:32:00Z</dcterms:modified>
  <cp:contentStatus/>
</cp:coreProperties>
</file>